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7C13BD">
        <w:rPr>
          <w:b/>
          <w:sz w:val="24"/>
          <w:szCs w:val="24"/>
          <w:u w:val="single"/>
        </w:rPr>
        <w:t>16</w:t>
      </w:r>
      <w:r w:rsidR="007C13BD" w:rsidRPr="007C13BD">
        <w:rPr>
          <w:b/>
          <w:sz w:val="24"/>
          <w:szCs w:val="24"/>
          <w:u w:val="single"/>
          <w:vertAlign w:val="superscript"/>
        </w:rPr>
        <w:t>th</w:t>
      </w:r>
      <w:r w:rsidR="007C13BD">
        <w:rPr>
          <w:b/>
          <w:sz w:val="24"/>
          <w:szCs w:val="24"/>
          <w:u w:val="single"/>
        </w:rPr>
        <w:t xml:space="preserve"> October </w:t>
      </w:r>
      <w:r w:rsidR="003A6D08">
        <w:rPr>
          <w:b/>
          <w:sz w:val="24"/>
          <w:szCs w:val="24"/>
          <w:u w:val="single"/>
        </w:rPr>
        <w:t>at 6.</w:t>
      </w:r>
      <w:r w:rsidR="007229CC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:rsidR="007C13BD" w:rsidRDefault="00725C5C" w:rsidP="00EB1357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6B678B">
        <w:rPr>
          <w:sz w:val="24"/>
          <w:szCs w:val="24"/>
        </w:rPr>
        <w:t xml:space="preserve"> </w:t>
      </w:r>
      <w:r w:rsidR="00A904E5" w:rsidRPr="006B43D8">
        <w:rPr>
          <w:sz w:val="24"/>
          <w:szCs w:val="24"/>
        </w:rPr>
        <w:t>R. Brown</w:t>
      </w:r>
      <w:r w:rsidR="00EB1357" w:rsidRPr="006B43D8">
        <w:rPr>
          <w:sz w:val="24"/>
          <w:szCs w:val="24"/>
        </w:rPr>
        <w:t>,</w:t>
      </w:r>
      <w:r w:rsidR="00A904E5" w:rsidRPr="006B43D8">
        <w:rPr>
          <w:sz w:val="24"/>
          <w:szCs w:val="24"/>
        </w:rPr>
        <w:t xml:space="preserve"> </w:t>
      </w:r>
      <w:r w:rsidR="00CA355C" w:rsidRPr="006B43D8">
        <w:rPr>
          <w:sz w:val="24"/>
          <w:szCs w:val="24"/>
        </w:rPr>
        <w:t>N</w:t>
      </w:r>
      <w:r w:rsidR="00500CB9">
        <w:rPr>
          <w:sz w:val="24"/>
          <w:szCs w:val="24"/>
        </w:rPr>
        <w:t xml:space="preserve">. </w:t>
      </w:r>
      <w:proofErr w:type="spellStart"/>
      <w:r w:rsidR="00397945" w:rsidRPr="006B43D8">
        <w:rPr>
          <w:sz w:val="24"/>
          <w:szCs w:val="24"/>
        </w:rPr>
        <w:t>Tranmer</w:t>
      </w:r>
      <w:proofErr w:type="spellEnd"/>
      <w:r w:rsidR="00397945" w:rsidRPr="006B43D8">
        <w:rPr>
          <w:sz w:val="24"/>
          <w:szCs w:val="24"/>
        </w:rPr>
        <w:t>, D.</w:t>
      </w:r>
      <w:r w:rsidR="007F7B71" w:rsidRPr="006B43D8">
        <w:rPr>
          <w:sz w:val="24"/>
          <w:szCs w:val="24"/>
        </w:rPr>
        <w:t xml:space="preserve"> Dodson</w:t>
      </w:r>
      <w:r w:rsidR="00500CB9">
        <w:rPr>
          <w:sz w:val="24"/>
          <w:szCs w:val="24"/>
        </w:rPr>
        <w:t>,</w:t>
      </w:r>
      <w:r w:rsidR="00664CF3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 xml:space="preserve">M. Yarlett, D Bridge, G. </w:t>
      </w:r>
      <w:proofErr w:type="spellStart"/>
      <w:r w:rsidR="00EB1357" w:rsidRPr="006B43D8">
        <w:rPr>
          <w:sz w:val="24"/>
          <w:szCs w:val="24"/>
        </w:rPr>
        <w:t>Smales</w:t>
      </w:r>
      <w:proofErr w:type="spellEnd"/>
      <w:r w:rsidR="00500CB9">
        <w:rPr>
          <w:sz w:val="24"/>
          <w:szCs w:val="24"/>
        </w:rPr>
        <w:t>,</w:t>
      </w:r>
      <w:r w:rsidR="00404AA2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K. Ferris</w:t>
      </w:r>
      <w:r w:rsidR="00500CB9">
        <w:rPr>
          <w:sz w:val="24"/>
          <w:szCs w:val="24"/>
        </w:rPr>
        <w:t>,</w:t>
      </w:r>
      <w:r w:rsidR="007C13BD" w:rsidRPr="007C13BD">
        <w:rPr>
          <w:sz w:val="24"/>
          <w:szCs w:val="24"/>
        </w:rPr>
        <w:t xml:space="preserve"> </w:t>
      </w:r>
    </w:p>
    <w:p w:rsidR="00EB1357" w:rsidRPr="006B43D8" w:rsidRDefault="007C13BD" w:rsidP="007C13BD">
      <w:pPr>
        <w:pStyle w:val="NoSpacing"/>
        <w:ind w:left="720" w:right="567"/>
        <w:rPr>
          <w:sz w:val="24"/>
          <w:szCs w:val="24"/>
        </w:rPr>
      </w:pPr>
      <w:r>
        <w:rPr>
          <w:sz w:val="24"/>
          <w:szCs w:val="24"/>
        </w:rPr>
        <w:t xml:space="preserve">     T. Stevenson</w:t>
      </w:r>
      <w:r w:rsidR="00500CB9">
        <w:rPr>
          <w:sz w:val="24"/>
          <w:szCs w:val="24"/>
        </w:rPr>
        <w:t>,</w:t>
      </w:r>
      <w:r>
        <w:rPr>
          <w:sz w:val="24"/>
          <w:szCs w:val="24"/>
        </w:rPr>
        <w:t xml:space="preserve"> R</w:t>
      </w:r>
      <w:r w:rsidR="00500CB9">
        <w:rPr>
          <w:sz w:val="24"/>
          <w:szCs w:val="24"/>
        </w:rPr>
        <w:t>.</w:t>
      </w:r>
      <w:r>
        <w:rPr>
          <w:sz w:val="24"/>
          <w:szCs w:val="24"/>
        </w:rPr>
        <w:t xml:space="preserve"> Carter</w:t>
      </w:r>
      <w:r w:rsidR="00500CB9">
        <w:rPr>
          <w:sz w:val="24"/>
          <w:szCs w:val="24"/>
        </w:rPr>
        <w:t>.</w:t>
      </w:r>
    </w:p>
    <w:p w:rsidR="00664CF3" w:rsidRDefault="00664CF3" w:rsidP="00664CF3">
      <w:pPr>
        <w:pStyle w:val="NoSpacing"/>
        <w:ind w:right="567"/>
        <w:rPr>
          <w:sz w:val="24"/>
          <w:szCs w:val="24"/>
        </w:rPr>
      </w:pPr>
    </w:p>
    <w:p w:rsidR="00891A77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4E18A2">
        <w:rPr>
          <w:sz w:val="24"/>
          <w:szCs w:val="24"/>
        </w:rPr>
        <w:t>.</w:t>
      </w:r>
    </w:p>
    <w:p w:rsidR="00C82567" w:rsidRDefault="002F1E41" w:rsidP="003A6D08">
      <w:pPr>
        <w:pStyle w:val="NoSpacing"/>
        <w:rPr>
          <w:sz w:val="24"/>
          <w:szCs w:val="24"/>
        </w:rPr>
      </w:pPr>
      <w:r w:rsidRPr="00500CB9">
        <w:rPr>
          <w:sz w:val="24"/>
          <w:szCs w:val="24"/>
        </w:rPr>
        <w:t>1</w:t>
      </w:r>
      <w:r w:rsidR="00C82567" w:rsidRPr="00500CB9">
        <w:rPr>
          <w:sz w:val="24"/>
          <w:szCs w:val="24"/>
        </w:rPr>
        <w:t xml:space="preserve"> member of the public</w:t>
      </w:r>
      <w:r w:rsidRPr="00500CB9">
        <w:rPr>
          <w:sz w:val="24"/>
          <w:szCs w:val="24"/>
        </w:rPr>
        <w:t xml:space="preserve"> </w:t>
      </w:r>
      <w:r w:rsidR="00500CB9" w:rsidRPr="00500CB9">
        <w:rPr>
          <w:sz w:val="24"/>
          <w:szCs w:val="24"/>
        </w:rPr>
        <w:t xml:space="preserve">Glyn </w:t>
      </w:r>
      <w:proofErr w:type="spellStart"/>
      <w:r w:rsidR="00500CB9" w:rsidRPr="00500CB9">
        <w:rPr>
          <w:sz w:val="24"/>
          <w:szCs w:val="24"/>
        </w:rPr>
        <w:t>Birchley</w:t>
      </w:r>
      <w:proofErr w:type="spellEnd"/>
    </w:p>
    <w:p w:rsidR="00500CB9" w:rsidRPr="00500CB9" w:rsidRDefault="00500CB9" w:rsidP="003A6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Borough Councillors: Turner, Cowles and Short</w:t>
      </w:r>
      <w:r w:rsidR="00D02487">
        <w:rPr>
          <w:sz w:val="24"/>
          <w:szCs w:val="24"/>
        </w:rPr>
        <w:t>, Helen Thorpe, Neighbourhood officer.</w:t>
      </w:r>
    </w:p>
    <w:p w:rsidR="007F7B71" w:rsidRPr="007C13BD" w:rsidRDefault="007F7B71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844" w:type="dxa"/>
        <w:tblLayout w:type="fixed"/>
        <w:tblLook w:val="04A0" w:firstRow="1" w:lastRow="0" w:firstColumn="1" w:lastColumn="0" w:noHBand="0" w:noVBand="1"/>
      </w:tblPr>
      <w:tblGrid>
        <w:gridCol w:w="1134"/>
        <w:gridCol w:w="8710"/>
      </w:tblGrid>
      <w:tr w:rsidR="00367361" w:rsidTr="007314A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7361" w:rsidRDefault="00716DF5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C13BD">
              <w:rPr>
                <w:b/>
                <w:sz w:val="24"/>
                <w:szCs w:val="24"/>
              </w:rPr>
              <w:t>93</w:t>
            </w:r>
            <w:r w:rsidR="0032025B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00CB9" w:rsidRDefault="00500C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67361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C13BD">
              <w:rPr>
                <w:b/>
                <w:sz w:val="24"/>
                <w:szCs w:val="24"/>
              </w:rPr>
              <w:t>94</w:t>
            </w:r>
            <w:r w:rsidR="00367361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F1E41" w:rsidRDefault="002F1E4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5039">
              <w:rPr>
                <w:b/>
                <w:sz w:val="24"/>
                <w:szCs w:val="24"/>
              </w:rPr>
              <w:t>95</w:t>
            </w:r>
            <w:r>
              <w:rPr>
                <w:b/>
                <w:sz w:val="24"/>
                <w:szCs w:val="24"/>
              </w:rPr>
              <w:t>/18</w:t>
            </w: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00CB9" w:rsidRDefault="00500C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00CB9" w:rsidRDefault="00500C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00CB9" w:rsidRDefault="00500C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00CB9" w:rsidRDefault="00500C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00CB9" w:rsidRDefault="00500C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5039">
              <w:rPr>
                <w:b/>
                <w:sz w:val="24"/>
                <w:szCs w:val="24"/>
              </w:rPr>
              <w:t>96</w:t>
            </w:r>
            <w:r>
              <w:rPr>
                <w:b/>
                <w:sz w:val="24"/>
                <w:szCs w:val="24"/>
              </w:rPr>
              <w:t xml:space="preserve">/18      </w:t>
            </w: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5039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</w:rPr>
              <w:t>/18</w:t>
            </w: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 xml:space="preserve">To Receive Apologies and Approve Reasons for Absence </w:t>
            </w:r>
          </w:p>
          <w:p w:rsidR="007C13BD" w:rsidRPr="00500CB9" w:rsidRDefault="00500CB9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Bridg</w:t>
            </w:r>
            <w:r w:rsidR="00D0248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(away) </w:t>
            </w:r>
            <w:r w:rsidRPr="00500CB9">
              <w:rPr>
                <w:sz w:val="24"/>
                <w:szCs w:val="24"/>
              </w:rPr>
              <w:t xml:space="preserve">G. </w:t>
            </w:r>
            <w:proofErr w:type="spellStart"/>
            <w:r w:rsidRPr="00500CB9">
              <w:rPr>
                <w:sz w:val="24"/>
                <w:szCs w:val="24"/>
              </w:rPr>
              <w:t>Smal</w:t>
            </w:r>
            <w:r>
              <w:rPr>
                <w:sz w:val="24"/>
                <w:szCs w:val="24"/>
              </w:rPr>
              <w:t>e</w:t>
            </w:r>
            <w:r w:rsidRPr="00500CB9">
              <w:rPr>
                <w:sz w:val="24"/>
                <w:szCs w:val="24"/>
              </w:rPr>
              <w:t>s</w:t>
            </w:r>
            <w:proofErr w:type="spellEnd"/>
            <w:r w:rsidRPr="00500CB9">
              <w:rPr>
                <w:sz w:val="24"/>
                <w:szCs w:val="24"/>
              </w:rPr>
              <w:t xml:space="preserve"> (late arrival due)</w:t>
            </w:r>
            <w:r>
              <w:rPr>
                <w:sz w:val="24"/>
                <w:szCs w:val="24"/>
              </w:rPr>
              <w:t>.</w:t>
            </w:r>
          </w:p>
          <w:p w:rsidR="00500CB9" w:rsidRDefault="00500CB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F57D29" w:rsidRPr="002E446B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</w:p>
          <w:p w:rsidR="002F1E41" w:rsidRPr="00500CB9" w:rsidRDefault="00281FAD" w:rsidP="003F7F7D">
            <w:pPr>
              <w:ind w:right="567"/>
              <w:rPr>
                <w:sz w:val="24"/>
                <w:szCs w:val="24"/>
              </w:rPr>
            </w:pPr>
            <w:r w:rsidRPr="00500CB9">
              <w:rPr>
                <w:sz w:val="24"/>
                <w:szCs w:val="24"/>
              </w:rPr>
              <w:t>None</w:t>
            </w:r>
          </w:p>
          <w:p w:rsidR="00281FAD" w:rsidRDefault="00281FAD" w:rsidP="003F7F7D">
            <w:pPr>
              <w:ind w:right="567"/>
              <w:rPr>
                <w:sz w:val="24"/>
                <w:szCs w:val="24"/>
              </w:rPr>
            </w:pPr>
          </w:p>
          <w:p w:rsidR="00F57D29" w:rsidRPr="002E446B" w:rsidRDefault="00F57D2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:rsidR="00500CB9" w:rsidRDefault="00500CB9" w:rsidP="00500CB9">
            <w:pPr>
              <w:pStyle w:val="NoSpacing"/>
              <w:ind w:right="567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D024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Birchley</w:t>
            </w:r>
            <w:proofErr w:type="spellEnd"/>
            <w:r>
              <w:rPr>
                <w:sz w:val="24"/>
                <w:szCs w:val="24"/>
              </w:rPr>
              <w:t xml:space="preserve"> reported problems with pollution in </w:t>
            </w:r>
            <w:r w:rsidRPr="00500CB9">
              <w:rPr>
                <w:sz w:val="24"/>
                <w:szCs w:val="24"/>
              </w:rPr>
              <w:t xml:space="preserve">Rawmarsh </w:t>
            </w:r>
            <w:r>
              <w:rPr>
                <w:sz w:val="24"/>
                <w:szCs w:val="24"/>
              </w:rPr>
              <w:t xml:space="preserve">(fine ash) with south westerly winds. Possibly from the biomass powerplant.  Approached various parish councils to date. Looking to locate </w:t>
            </w:r>
            <w:r w:rsidR="00D0248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source of the pollution. Volunteer(s) being sought to report any incidents.  Cllr Brown advised he would be a volunteer in this regard.</w:t>
            </w:r>
          </w:p>
          <w:p w:rsidR="002F1E41" w:rsidRPr="00500CB9" w:rsidRDefault="00500CB9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  <w:r w:rsidRPr="00500CB9">
              <w:rPr>
                <w:sz w:val="24"/>
                <w:szCs w:val="24"/>
              </w:rPr>
              <w:t xml:space="preserve"> </w:t>
            </w:r>
          </w:p>
          <w:p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935039">
              <w:rPr>
                <w:b/>
                <w:sz w:val="24"/>
                <w:szCs w:val="24"/>
                <w:u w:val="single"/>
              </w:rPr>
              <w:t>18</w:t>
            </w:r>
            <w:r w:rsidR="00935039" w:rsidRPr="00935039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935039">
              <w:rPr>
                <w:b/>
                <w:sz w:val="24"/>
                <w:szCs w:val="24"/>
                <w:u w:val="single"/>
              </w:rPr>
              <w:t xml:space="preserve"> September </w:t>
            </w:r>
            <w:r w:rsidRPr="002E446B">
              <w:rPr>
                <w:b/>
                <w:sz w:val="24"/>
                <w:szCs w:val="24"/>
                <w:u w:val="single"/>
              </w:rPr>
              <w:t>2017</w:t>
            </w:r>
          </w:p>
          <w:p w:rsidR="007229CC" w:rsidRPr="002E446B" w:rsidRDefault="007229CC" w:rsidP="002E446B">
            <w:pPr>
              <w:ind w:right="567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935039">
              <w:rPr>
                <w:sz w:val="24"/>
                <w:szCs w:val="24"/>
              </w:rPr>
              <w:t>18</w:t>
            </w:r>
            <w:r w:rsidR="00935039" w:rsidRPr="00935039">
              <w:rPr>
                <w:sz w:val="24"/>
                <w:szCs w:val="24"/>
                <w:vertAlign w:val="superscript"/>
              </w:rPr>
              <w:t>th</w:t>
            </w:r>
            <w:r w:rsidR="00935039">
              <w:rPr>
                <w:sz w:val="24"/>
                <w:szCs w:val="24"/>
              </w:rPr>
              <w:t xml:space="preserve"> September </w:t>
            </w:r>
            <w:r w:rsidRPr="002E446B">
              <w:rPr>
                <w:sz w:val="24"/>
                <w:szCs w:val="24"/>
              </w:rPr>
              <w:t>2017 be approved as a true and accurate record.</w:t>
            </w:r>
          </w:p>
          <w:p w:rsidR="007229CC" w:rsidRPr="002E446B" w:rsidRDefault="007229CC" w:rsidP="007229CC">
            <w:pPr>
              <w:ind w:right="567"/>
              <w:rPr>
                <w:sz w:val="24"/>
                <w:szCs w:val="24"/>
              </w:rPr>
            </w:pPr>
          </w:p>
          <w:p w:rsidR="007229CC" w:rsidRPr="002E446B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:rsidR="00535B6A" w:rsidRDefault="00D02487" w:rsidP="00935039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None </w:t>
            </w:r>
          </w:p>
          <w:p w:rsidR="00D02487" w:rsidRPr="002E446B" w:rsidRDefault="00D02487" w:rsidP="00935039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674E" w:rsidTr="007314A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674E" w:rsidRDefault="00716DF5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5039">
              <w:rPr>
                <w:b/>
                <w:sz w:val="24"/>
                <w:szCs w:val="24"/>
              </w:rPr>
              <w:t>98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4E18A2" w:rsidRDefault="004E18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E446B" w:rsidRDefault="002E446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02487" w:rsidRDefault="00D024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716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5039">
              <w:rPr>
                <w:b/>
                <w:sz w:val="24"/>
                <w:szCs w:val="24"/>
              </w:rPr>
              <w:t>99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C5607" w:rsidRDefault="00FC56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82BF7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B1357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B43D8" w:rsidRDefault="006B43D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C52C54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210DF4">
              <w:rPr>
                <w:b/>
                <w:sz w:val="24"/>
                <w:szCs w:val="24"/>
              </w:rPr>
              <w:t>/18</w:t>
            </w:r>
          </w:p>
          <w:p w:rsidR="00C52C54" w:rsidRDefault="00C52C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503CB" w:rsidRDefault="000503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503CB" w:rsidRDefault="000503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F4128" w:rsidRDefault="008F412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D474B" w:rsidRDefault="007D474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D474B" w:rsidRDefault="007D474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D474B" w:rsidRDefault="007D474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D474B" w:rsidRDefault="007D474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D474B" w:rsidRDefault="007D474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102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862E2" w:rsidRDefault="008862E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83633" w:rsidRDefault="009836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83633" w:rsidRDefault="009836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E101E" w:rsidRDefault="008E101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E101E" w:rsidRDefault="008E101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E101E" w:rsidRDefault="008E101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C7662" w:rsidRDefault="007C76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C7662" w:rsidRDefault="007C76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C7662" w:rsidRDefault="007C76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67E74" w:rsidRDefault="00E67E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67E74" w:rsidRDefault="00E67E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67E74" w:rsidRDefault="00E67E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104/</w:t>
            </w:r>
            <w:r w:rsidR="000F0954">
              <w:rPr>
                <w:b/>
                <w:sz w:val="24"/>
                <w:szCs w:val="24"/>
              </w:rPr>
              <w:t>18</w:t>
            </w: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67E74" w:rsidRDefault="00E67E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C7662" w:rsidRDefault="007C766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94E20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7934F4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525E6" w:rsidRDefault="004525E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525E6" w:rsidRDefault="004525E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94E20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0954">
              <w:rPr>
                <w:b/>
                <w:sz w:val="24"/>
                <w:szCs w:val="24"/>
              </w:rPr>
              <w:t>6</w:t>
            </w:r>
            <w:r w:rsidR="0005259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18</w:t>
            </w:r>
          </w:p>
          <w:p w:rsidR="00175B19" w:rsidRDefault="00175B1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B23C3" w:rsidRDefault="00DB23C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52595" w:rsidRDefault="006630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5039">
              <w:rPr>
                <w:b/>
                <w:sz w:val="24"/>
                <w:szCs w:val="24"/>
              </w:rPr>
              <w:t>07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B23C3" w:rsidRDefault="00DB23C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6300C" w:rsidRDefault="006630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6300C" w:rsidRDefault="006630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355E3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793A" w:rsidRDefault="008979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B23C3" w:rsidRDefault="00DB23C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C7081D" w:rsidRDefault="00C7081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C7081D" w:rsidRDefault="00C7081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C7081D" w:rsidRDefault="00C7081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109/1</w:t>
            </w:r>
            <w:r w:rsidR="0003078C">
              <w:rPr>
                <w:b/>
                <w:sz w:val="24"/>
                <w:szCs w:val="24"/>
              </w:rPr>
              <w:t>8</w:t>
            </w:r>
          </w:p>
          <w:p w:rsidR="0089793A" w:rsidRDefault="008979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A3D3C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00448" w:rsidRDefault="00F0044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00448" w:rsidRDefault="00F0044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F77EB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EF77EB">
              <w:rPr>
                <w:b/>
                <w:sz w:val="24"/>
                <w:szCs w:val="24"/>
              </w:rPr>
              <w:t>/18</w:t>
            </w: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B4865" w:rsidRDefault="005B486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E6525" w:rsidRDefault="00AE652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E6525" w:rsidRDefault="00AE652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3AF7" w:rsidRDefault="00613AF7" w:rsidP="00B00F24">
            <w:pPr>
              <w:pStyle w:val="NoSpacing"/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2E446B" w:rsidRDefault="00B0674E" w:rsidP="00716DF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lastRenderedPageBreak/>
              <w:t>Monthly Accounts</w:t>
            </w:r>
          </w:p>
          <w:p w:rsidR="00C52C54" w:rsidRDefault="00B0674E" w:rsidP="002E446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B0674E">
              <w:rPr>
                <w:b/>
                <w:sz w:val="24"/>
                <w:szCs w:val="24"/>
              </w:rPr>
              <w:t>Resolved:</w:t>
            </w:r>
            <w:r w:rsidR="00177390">
              <w:rPr>
                <w:b/>
                <w:sz w:val="24"/>
                <w:szCs w:val="24"/>
              </w:rPr>
              <w:t xml:space="preserve"> </w:t>
            </w:r>
            <w:r w:rsidRPr="00B0674E">
              <w:rPr>
                <w:sz w:val="24"/>
                <w:szCs w:val="24"/>
              </w:rPr>
              <w:t>That the monthly accounts be approved in the sum of £</w:t>
            </w:r>
            <w:r w:rsidR="00935039">
              <w:rPr>
                <w:sz w:val="24"/>
                <w:szCs w:val="24"/>
              </w:rPr>
              <w:t>4</w:t>
            </w:r>
            <w:r w:rsidR="00D02487">
              <w:rPr>
                <w:sz w:val="24"/>
                <w:szCs w:val="24"/>
              </w:rPr>
              <w:t>11</w:t>
            </w:r>
            <w:r w:rsidR="00935039">
              <w:rPr>
                <w:sz w:val="24"/>
                <w:szCs w:val="24"/>
              </w:rPr>
              <w:t>2.47</w:t>
            </w:r>
            <w:r w:rsidR="00A56A8A" w:rsidRPr="0032025B">
              <w:rPr>
                <w:color w:val="FF0000"/>
              </w:rPr>
              <w:t xml:space="preserve"> </w:t>
            </w:r>
            <w:r w:rsidR="00716DF5" w:rsidRPr="00716DF5">
              <w:t>(</w:t>
            </w:r>
            <w:r w:rsidR="00716DF5" w:rsidRPr="00716DF5">
              <w:rPr>
                <w:sz w:val="24"/>
                <w:szCs w:val="24"/>
              </w:rPr>
              <w:t>s</w:t>
            </w:r>
            <w:r w:rsidR="00716DF5">
              <w:rPr>
                <w:sz w:val="24"/>
                <w:szCs w:val="24"/>
              </w:rPr>
              <w:t xml:space="preserve">chedule attached) </w:t>
            </w:r>
            <w:r w:rsidR="00A56A8A" w:rsidRPr="00A56A8A">
              <w:rPr>
                <w:sz w:val="24"/>
                <w:szCs w:val="24"/>
              </w:rPr>
              <w:t>together with retainer returns of £</w:t>
            </w:r>
            <w:r w:rsidR="00935039">
              <w:rPr>
                <w:sz w:val="24"/>
                <w:szCs w:val="24"/>
              </w:rPr>
              <w:t>50</w:t>
            </w:r>
            <w:r w:rsidR="00A56A8A" w:rsidRPr="00A56A8A">
              <w:rPr>
                <w:sz w:val="24"/>
                <w:szCs w:val="24"/>
              </w:rPr>
              <w:t>.00</w:t>
            </w:r>
            <w:r w:rsidR="00EB1357">
              <w:rPr>
                <w:sz w:val="24"/>
                <w:szCs w:val="24"/>
              </w:rPr>
              <w:t xml:space="preserve"> </w:t>
            </w:r>
            <w:r w:rsidR="0032025B">
              <w:rPr>
                <w:sz w:val="24"/>
                <w:szCs w:val="24"/>
              </w:rPr>
              <w:t>for</w:t>
            </w:r>
            <w:r w:rsidR="00935039">
              <w:rPr>
                <w:sz w:val="24"/>
                <w:szCs w:val="24"/>
              </w:rPr>
              <w:t xml:space="preserve"> Octob</w:t>
            </w:r>
            <w:r w:rsidR="0032025B">
              <w:rPr>
                <w:sz w:val="24"/>
                <w:szCs w:val="24"/>
              </w:rPr>
              <w:t>er</w:t>
            </w:r>
          </w:p>
          <w:p w:rsidR="00327145" w:rsidRDefault="00327145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B0674E" w:rsidRPr="00334B77" w:rsidRDefault="00B0674E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>Bank Reconciliation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334B7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935039">
              <w:rPr>
                <w:b/>
                <w:sz w:val="24"/>
                <w:szCs w:val="24"/>
                <w:u w:val="single"/>
              </w:rPr>
              <w:t>30</w:t>
            </w:r>
            <w:r w:rsidR="00935039" w:rsidRPr="00935039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935039">
              <w:rPr>
                <w:b/>
                <w:sz w:val="24"/>
                <w:szCs w:val="24"/>
                <w:u w:val="single"/>
              </w:rPr>
              <w:t xml:space="preserve"> September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 w:rsidR="0003078C">
              <w:rPr>
                <w:b/>
                <w:sz w:val="24"/>
                <w:szCs w:val="24"/>
                <w:u w:val="single"/>
              </w:rPr>
              <w:t>1</w:t>
            </w:r>
            <w:r w:rsidR="00716DF5">
              <w:rPr>
                <w:b/>
                <w:sz w:val="24"/>
                <w:szCs w:val="24"/>
                <w:u w:val="single"/>
              </w:rPr>
              <w:t>7</w:t>
            </w:r>
          </w:p>
          <w:p w:rsidR="00C52C54" w:rsidRDefault="00B0674E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334B77">
              <w:rPr>
                <w:sz w:val="24"/>
                <w:szCs w:val="24"/>
              </w:rPr>
              <w:t>The bank reconciliation</w:t>
            </w:r>
            <w:r>
              <w:rPr>
                <w:sz w:val="24"/>
                <w:szCs w:val="24"/>
              </w:rPr>
              <w:t>s</w:t>
            </w:r>
            <w:r w:rsidRPr="00334B77">
              <w:rPr>
                <w:sz w:val="24"/>
                <w:szCs w:val="24"/>
              </w:rPr>
              <w:t xml:space="preserve"> to </w:t>
            </w:r>
            <w:r w:rsidR="00935039">
              <w:rPr>
                <w:sz w:val="24"/>
                <w:szCs w:val="24"/>
              </w:rPr>
              <w:t>30</w:t>
            </w:r>
            <w:r w:rsidR="00935039" w:rsidRPr="00935039">
              <w:rPr>
                <w:sz w:val="24"/>
                <w:szCs w:val="24"/>
                <w:vertAlign w:val="superscript"/>
              </w:rPr>
              <w:t>th</w:t>
            </w:r>
            <w:r w:rsidR="00935039">
              <w:rPr>
                <w:sz w:val="24"/>
                <w:szCs w:val="24"/>
              </w:rPr>
              <w:t xml:space="preserve"> September </w:t>
            </w:r>
            <w:r>
              <w:rPr>
                <w:sz w:val="24"/>
                <w:szCs w:val="24"/>
              </w:rPr>
              <w:t>20</w:t>
            </w:r>
            <w:r w:rsidR="0003078C">
              <w:rPr>
                <w:sz w:val="24"/>
                <w:szCs w:val="24"/>
              </w:rPr>
              <w:t>1</w:t>
            </w:r>
            <w:r w:rsidR="00716D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34B7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ere</w:t>
            </w:r>
            <w:r w:rsidRPr="00334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agreed</w:t>
            </w:r>
            <w:r w:rsidR="0042221D">
              <w:rPr>
                <w:sz w:val="24"/>
                <w:szCs w:val="24"/>
              </w:rPr>
              <w:t>.</w:t>
            </w:r>
          </w:p>
          <w:p w:rsidR="00DD2B2D" w:rsidRDefault="00DD2B2D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:rsidR="00C52C54" w:rsidRDefault="007229CC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Budget Monitoring </w:t>
            </w:r>
          </w:p>
          <w:p w:rsidR="00D05843" w:rsidRPr="00D05843" w:rsidRDefault="00D05843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D05843">
              <w:rPr>
                <w:sz w:val="24"/>
                <w:szCs w:val="24"/>
              </w:rPr>
              <w:t>Budget monitoring noted</w:t>
            </w:r>
            <w:r w:rsidR="00EB0487">
              <w:rPr>
                <w:sz w:val="24"/>
                <w:szCs w:val="24"/>
              </w:rPr>
              <w:t>.</w:t>
            </w:r>
            <w:r w:rsidRPr="00D05843">
              <w:rPr>
                <w:sz w:val="24"/>
                <w:szCs w:val="24"/>
              </w:rPr>
              <w:t xml:space="preserve"> </w:t>
            </w:r>
          </w:p>
          <w:p w:rsidR="0039616F" w:rsidRDefault="0039616F" w:rsidP="003F7F7D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</w:p>
          <w:p w:rsidR="00FC75B1" w:rsidRPr="00FC75B1" w:rsidRDefault="00FC75B1" w:rsidP="00EB0487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FC75B1">
              <w:rPr>
                <w:b/>
                <w:sz w:val="24"/>
                <w:szCs w:val="24"/>
                <w:u w:val="single"/>
              </w:rPr>
              <w:t>Garage Rent – Update</w:t>
            </w:r>
          </w:p>
          <w:p w:rsidR="000503CB" w:rsidRDefault="00935039" w:rsidP="00612D45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advised that the tenant had now agreed the rent at £80 per month</w:t>
            </w:r>
            <w:r w:rsidR="00D02487">
              <w:rPr>
                <w:sz w:val="24"/>
                <w:szCs w:val="24"/>
              </w:rPr>
              <w:t xml:space="preserve"> further to her own </w:t>
            </w:r>
            <w:r w:rsidR="007D474B">
              <w:rPr>
                <w:sz w:val="24"/>
                <w:szCs w:val="24"/>
              </w:rPr>
              <w:t>independent valuation</w:t>
            </w:r>
            <w:r>
              <w:rPr>
                <w:sz w:val="24"/>
                <w:szCs w:val="24"/>
              </w:rPr>
              <w:t xml:space="preserve">. </w:t>
            </w:r>
            <w:r w:rsidR="007C7662">
              <w:rPr>
                <w:sz w:val="24"/>
                <w:szCs w:val="24"/>
              </w:rPr>
              <w:t xml:space="preserve">Further to the last meeting and the approval of costs in June the </w:t>
            </w:r>
            <w:r>
              <w:rPr>
                <w:sz w:val="24"/>
                <w:szCs w:val="24"/>
              </w:rPr>
              <w:t xml:space="preserve">solicitors had been instructed to draw up a draft </w:t>
            </w:r>
            <w:r w:rsidR="007D474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ease (5 years with break clause) with the members to approve </w:t>
            </w:r>
            <w:r w:rsidR="007C7662">
              <w:rPr>
                <w:sz w:val="24"/>
                <w:szCs w:val="24"/>
              </w:rPr>
              <w:t xml:space="preserve">the details </w:t>
            </w:r>
            <w:r>
              <w:rPr>
                <w:sz w:val="24"/>
                <w:szCs w:val="24"/>
              </w:rPr>
              <w:t>in due course</w:t>
            </w:r>
            <w:r w:rsidR="008F4128">
              <w:rPr>
                <w:sz w:val="24"/>
                <w:szCs w:val="24"/>
              </w:rPr>
              <w:t xml:space="preserve">. </w:t>
            </w:r>
            <w:r w:rsidR="000503CB">
              <w:rPr>
                <w:sz w:val="24"/>
                <w:szCs w:val="24"/>
              </w:rPr>
              <w:t xml:space="preserve">  </w:t>
            </w:r>
          </w:p>
          <w:p w:rsidR="007D474B" w:rsidRDefault="007C7662" w:rsidP="007C7662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Cllr Yarlett advised that the t</w:t>
            </w:r>
            <w:r w:rsidR="007D474B">
              <w:rPr>
                <w:sz w:val="24"/>
                <w:szCs w:val="24"/>
              </w:rPr>
              <w:t xml:space="preserve">enant </w:t>
            </w:r>
            <w:r>
              <w:rPr>
                <w:sz w:val="24"/>
                <w:szCs w:val="24"/>
              </w:rPr>
              <w:t xml:space="preserve">should </w:t>
            </w:r>
            <w:r w:rsidR="007D474B">
              <w:rPr>
                <w:sz w:val="24"/>
                <w:szCs w:val="24"/>
              </w:rPr>
              <w:t>to be approached regarding funding the lease.</w:t>
            </w:r>
            <w:r w:rsidR="00B0533C">
              <w:rPr>
                <w:sz w:val="24"/>
                <w:szCs w:val="24"/>
              </w:rPr>
              <w:t xml:space="preserve"> </w:t>
            </w:r>
            <w:proofErr w:type="gramStart"/>
            <w:r w:rsidR="00B0533C">
              <w:rPr>
                <w:sz w:val="24"/>
                <w:szCs w:val="24"/>
              </w:rPr>
              <w:t>Alternatively</w:t>
            </w:r>
            <w:proofErr w:type="gramEnd"/>
            <w:r w:rsidR="00B0533C">
              <w:rPr>
                <w:sz w:val="24"/>
                <w:szCs w:val="24"/>
              </w:rPr>
              <w:t xml:space="preserve"> a six month rolling lease </w:t>
            </w:r>
            <w:r>
              <w:rPr>
                <w:sz w:val="24"/>
                <w:szCs w:val="24"/>
              </w:rPr>
              <w:t>c</w:t>
            </w:r>
            <w:r w:rsidR="00B0533C">
              <w:rPr>
                <w:sz w:val="24"/>
                <w:szCs w:val="24"/>
              </w:rPr>
              <w:t>ould be provided</w:t>
            </w:r>
            <w:r>
              <w:rPr>
                <w:sz w:val="24"/>
                <w:szCs w:val="24"/>
              </w:rPr>
              <w:t xml:space="preserve"> without the need for the solicitor to proceed with the current instruction. </w:t>
            </w:r>
            <w:r w:rsidR="00B0533C">
              <w:rPr>
                <w:sz w:val="24"/>
                <w:szCs w:val="24"/>
              </w:rPr>
              <w:t xml:space="preserve">If the tenant did not want to proceed then notice would be given in order that garage could be marketed. </w:t>
            </w:r>
          </w:p>
          <w:p w:rsidR="007D474B" w:rsidRDefault="007D474B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935039" w:rsidRDefault="00935039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Parish Hall- Approve cabinet for events working group and consider car parking arrangements</w:t>
            </w:r>
            <w:r w:rsidR="007D474B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862E2" w:rsidRDefault="008862E2" w:rsidP="008E101E">
            <w:pPr>
              <w:tabs>
                <w:tab w:val="left" w:pos="2280"/>
              </w:tabs>
              <w:ind w:right="567"/>
              <w:jc w:val="both"/>
              <w:rPr>
                <w:sz w:val="24"/>
                <w:szCs w:val="24"/>
              </w:rPr>
            </w:pPr>
            <w:r w:rsidRPr="008862E2">
              <w:rPr>
                <w:sz w:val="24"/>
                <w:szCs w:val="24"/>
              </w:rPr>
              <w:t xml:space="preserve">Deferred until </w:t>
            </w:r>
            <w:r w:rsidR="00983633">
              <w:rPr>
                <w:sz w:val="24"/>
                <w:szCs w:val="24"/>
              </w:rPr>
              <w:t>the office was relocated at the hall in order that the amount of additional storage required for both the working group</w:t>
            </w:r>
            <w:r w:rsidR="007C7662">
              <w:rPr>
                <w:sz w:val="24"/>
                <w:szCs w:val="24"/>
              </w:rPr>
              <w:t xml:space="preserve"> and the clerk </w:t>
            </w:r>
            <w:r w:rsidR="00983633">
              <w:rPr>
                <w:sz w:val="24"/>
                <w:szCs w:val="24"/>
              </w:rPr>
              <w:t xml:space="preserve">could be assessed. </w:t>
            </w:r>
          </w:p>
          <w:p w:rsidR="00983633" w:rsidRDefault="00983633" w:rsidP="008E101E">
            <w:pPr>
              <w:tabs>
                <w:tab w:val="left" w:pos="2280"/>
              </w:tabs>
              <w:ind w:right="567"/>
              <w:jc w:val="both"/>
              <w:rPr>
                <w:sz w:val="24"/>
                <w:szCs w:val="24"/>
              </w:rPr>
            </w:pPr>
            <w:r w:rsidRPr="008E101E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a cha</w:t>
            </w:r>
            <w:r w:rsidR="008E101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="008E101E">
              <w:rPr>
                <w:sz w:val="24"/>
                <w:szCs w:val="24"/>
              </w:rPr>
              <w:t>/posts be installed</w:t>
            </w:r>
            <w:r>
              <w:rPr>
                <w:sz w:val="24"/>
                <w:szCs w:val="24"/>
              </w:rPr>
              <w:t xml:space="preserve"> </w:t>
            </w:r>
            <w:r w:rsidR="008E101E">
              <w:rPr>
                <w:sz w:val="24"/>
                <w:szCs w:val="24"/>
              </w:rPr>
              <w:t>by the contractor renovating the hall.</w:t>
            </w:r>
          </w:p>
          <w:p w:rsidR="008E101E" w:rsidRDefault="008E101E" w:rsidP="008E101E">
            <w:pPr>
              <w:tabs>
                <w:tab w:val="left" w:pos="2280"/>
              </w:tabs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provided regarding the renovations for the hall.  An initial meeting with the contractor had taken place to clarify the</w:t>
            </w:r>
            <w:r w:rsidR="00E67E74">
              <w:rPr>
                <w:sz w:val="24"/>
                <w:szCs w:val="24"/>
              </w:rPr>
              <w:t xml:space="preserve"> specification and timeframes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7C7662">
              <w:rPr>
                <w:sz w:val="24"/>
                <w:szCs w:val="24"/>
              </w:rPr>
              <w:t>The</w:t>
            </w:r>
            <w:proofErr w:type="gramEnd"/>
            <w:r w:rsidR="007C7662">
              <w:rPr>
                <w:sz w:val="24"/>
                <w:szCs w:val="24"/>
              </w:rPr>
              <w:t xml:space="preserve"> costs of the additional work noted at the meeting was to be provided by the contractor prior to a purchase order being given. Members to agree the purchase order details at the November meeting. A fixed price was also to be confirmed.</w:t>
            </w:r>
          </w:p>
          <w:p w:rsidR="00983633" w:rsidRDefault="00983633" w:rsidP="008E101E">
            <w:pPr>
              <w:tabs>
                <w:tab w:val="left" w:pos="2280"/>
              </w:tabs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C293B" w:rsidRDefault="00210DF4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Christmas installation</w:t>
            </w:r>
            <w:r w:rsidR="00935039">
              <w:rPr>
                <w:b/>
                <w:sz w:val="24"/>
                <w:szCs w:val="24"/>
                <w:u w:val="single"/>
              </w:rPr>
              <w:t xml:space="preserve">- Update </w:t>
            </w:r>
          </w:p>
          <w:p w:rsidR="00935039" w:rsidRPr="00E67E74" w:rsidRDefault="00E67E74" w:rsidP="00E67E74">
            <w:pPr>
              <w:ind w:right="425"/>
              <w:jc w:val="both"/>
              <w:rPr>
                <w:sz w:val="24"/>
                <w:szCs w:val="24"/>
              </w:rPr>
            </w:pPr>
            <w:r w:rsidRPr="00E67E74">
              <w:rPr>
                <w:sz w:val="24"/>
                <w:szCs w:val="24"/>
              </w:rPr>
              <w:t>Noted lighting available had been ordered as advised a</w:t>
            </w:r>
            <w:r>
              <w:rPr>
                <w:sz w:val="24"/>
                <w:szCs w:val="24"/>
              </w:rPr>
              <w:t>t</w:t>
            </w:r>
            <w:r w:rsidRPr="00E67E74">
              <w:rPr>
                <w:sz w:val="24"/>
                <w:szCs w:val="24"/>
              </w:rPr>
              <w:t xml:space="preserve"> the last meeting. Dave Bridge to look at lights at the “</w:t>
            </w:r>
            <w:r>
              <w:rPr>
                <w:sz w:val="24"/>
                <w:szCs w:val="24"/>
              </w:rPr>
              <w:t xml:space="preserve">Sitwell </w:t>
            </w:r>
            <w:r w:rsidRPr="00E67E74">
              <w:rPr>
                <w:sz w:val="24"/>
                <w:szCs w:val="24"/>
              </w:rPr>
              <w:t>Triangle” but plans to be agreed at the November meeting in order to avoid</w:t>
            </w:r>
            <w:r>
              <w:rPr>
                <w:sz w:val="24"/>
                <w:szCs w:val="24"/>
              </w:rPr>
              <w:t xml:space="preserve"> the area not being included in 2018 </w:t>
            </w:r>
          </w:p>
          <w:p w:rsidR="00E67E74" w:rsidRPr="00E67E74" w:rsidRDefault="00E67E74" w:rsidP="00E67E74">
            <w:pPr>
              <w:ind w:right="425"/>
              <w:jc w:val="both"/>
              <w:rPr>
                <w:sz w:val="24"/>
                <w:szCs w:val="24"/>
              </w:rPr>
            </w:pPr>
          </w:p>
          <w:p w:rsidR="00612D45" w:rsidRDefault="000F0954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Manorial Barn- </w:t>
            </w:r>
            <w:r w:rsidR="00B0533C">
              <w:rPr>
                <w:b/>
                <w:sz w:val="24"/>
                <w:szCs w:val="24"/>
                <w:u w:val="single"/>
              </w:rPr>
              <w:t xml:space="preserve">Update- </w:t>
            </w:r>
            <w:r>
              <w:rPr>
                <w:b/>
                <w:sz w:val="24"/>
                <w:szCs w:val="24"/>
                <w:u w:val="single"/>
              </w:rPr>
              <w:t xml:space="preserve">External </w:t>
            </w:r>
            <w:proofErr w:type="gramStart"/>
            <w:r w:rsidR="00B0533C">
              <w:rPr>
                <w:b/>
                <w:sz w:val="24"/>
                <w:szCs w:val="24"/>
                <w:u w:val="single"/>
              </w:rPr>
              <w:t>r</w:t>
            </w:r>
            <w:r>
              <w:rPr>
                <w:b/>
                <w:sz w:val="24"/>
                <w:szCs w:val="24"/>
                <w:u w:val="single"/>
              </w:rPr>
              <w:t>e</w:t>
            </w:r>
            <w:r w:rsidR="00E67E74">
              <w:rPr>
                <w:b/>
                <w:sz w:val="24"/>
                <w:szCs w:val="24"/>
                <w:u w:val="single"/>
              </w:rPr>
              <w:t>pairs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Chaff Lane</w:t>
            </w:r>
            <w:r w:rsidR="00612D45">
              <w:rPr>
                <w:b/>
                <w:sz w:val="24"/>
                <w:szCs w:val="24"/>
                <w:u w:val="single"/>
              </w:rPr>
              <w:t>.</w:t>
            </w:r>
          </w:p>
          <w:p w:rsidR="000F0954" w:rsidRDefault="007C7662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Yarlett reported that he had inspected the area and that there were n</w:t>
            </w:r>
            <w:r w:rsidR="00E67E74">
              <w:rPr>
                <w:sz w:val="24"/>
                <w:szCs w:val="24"/>
              </w:rPr>
              <w:t xml:space="preserve">o issues with the external outcrop </w:t>
            </w:r>
            <w:r>
              <w:rPr>
                <w:sz w:val="24"/>
                <w:szCs w:val="24"/>
              </w:rPr>
              <w:t>area or any remedial works required.</w:t>
            </w:r>
          </w:p>
          <w:p w:rsidR="00E67E74" w:rsidRPr="00612D45" w:rsidRDefault="00E67E74" w:rsidP="003F7F7D">
            <w:pPr>
              <w:ind w:right="425"/>
              <w:rPr>
                <w:sz w:val="24"/>
                <w:szCs w:val="24"/>
              </w:rPr>
            </w:pPr>
          </w:p>
          <w:p w:rsidR="00612D45" w:rsidRDefault="00935039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Cricket Club – Consider donation request </w:t>
            </w:r>
          </w:p>
          <w:p w:rsidR="00935039" w:rsidRPr="00935039" w:rsidRDefault="00935039" w:rsidP="003F7F7D">
            <w:pPr>
              <w:ind w:right="425"/>
              <w:rPr>
                <w:sz w:val="24"/>
                <w:szCs w:val="24"/>
              </w:rPr>
            </w:pPr>
            <w:r w:rsidRPr="00935039">
              <w:rPr>
                <w:sz w:val="24"/>
                <w:szCs w:val="24"/>
              </w:rPr>
              <w:t>Members considered the grant application received.</w:t>
            </w:r>
          </w:p>
          <w:p w:rsidR="00935039" w:rsidRDefault="00935039" w:rsidP="003F7F7D">
            <w:pPr>
              <w:ind w:right="425"/>
              <w:rPr>
                <w:sz w:val="24"/>
                <w:szCs w:val="24"/>
              </w:rPr>
            </w:pPr>
            <w:r w:rsidRPr="00935039">
              <w:rPr>
                <w:b/>
                <w:sz w:val="24"/>
                <w:szCs w:val="24"/>
              </w:rPr>
              <w:t xml:space="preserve">Resolved: </w:t>
            </w:r>
            <w:r w:rsidRPr="00935039">
              <w:rPr>
                <w:sz w:val="24"/>
                <w:szCs w:val="24"/>
              </w:rPr>
              <w:t xml:space="preserve">That </w:t>
            </w:r>
            <w:r w:rsidR="004D5153">
              <w:rPr>
                <w:sz w:val="24"/>
                <w:szCs w:val="24"/>
              </w:rPr>
              <w:t xml:space="preserve">a </w:t>
            </w:r>
            <w:r w:rsidR="007C7662">
              <w:rPr>
                <w:sz w:val="24"/>
                <w:szCs w:val="24"/>
              </w:rPr>
              <w:t xml:space="preserve">maximum </w:t>
            </w:r>
            <w:r w:rsidR="004D5153">
              <w:rPr>
                <w:sz w:val="24"/>
                <w:szCs w:val="24"/>
              </w:rPr>
              <w:t>donation of £450 be provided to the cricket club.</w:t>
            </w:r>
          </w:p>
          <w:p w:rsidR="00935039" w:rsidRPr="00935039" w:rsidRDefault="00935039" w:rsidP="003F7F7D">
            <w:pPr>
              <w:ind w:right="425"/>
              <w:rPr>
                <w:sz w:val="24"/>
                <w:szCs w:val="24"/>
              </w:rPr>
            </w:pPr>
          </w:p>
          <w:p w:rsidR="00606092" w:rsidRDefault="00606092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Events </w:t>
            </w:r>
          </w:p>
          <w:p w:rsidR="004D5153" w:rsidRDefault="004D5153" w:rsidP="00514ABA">
            <w:pPr>
              <w:ind w:right="425"/>
              <w:jc w:val="both"/>
              <w:rPr>
                <w:sz w:val="24"/>
                <w:szCs w:val="24"/>
              </w:rPr>
            </w:pPr>
            <w:r w:rsidRPr="004D5153">
              <w:rPr>
                <w:sz w:val="24"/>
                <w:szCs w:val="24"/>
              </w:rPr>
              <w:t>Armistice Day</w:t>
            </w:r>
            <w:r>
              <w:rPr>
                <w:sz w:val="24"/>
                <w:szCs w:val="24"/>
              </w:rPr>
              <w:t xml:space="preserve"> -  Clerk provided an update regarding armistice day transport. Further details to be provided to the </w:t>
            </w:r>
            <w:r w:rsidR="00DB23C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lerk in due course</w:t>
            </w:r>
          </w:p>
          <w:p w:rsidR="00606092" w:rsidRDefault="004D5153" w:rsidP="00514AB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– Full schedule </w:t>
            </w:r>
            <w:r w:rsidR="00DB23C3">
              <w:rPr>
                <w:sz w:val="24"/>
                <w:szCs w:val="24"/>
              </w:rPr>
              <w:t xml:space="preserve">of events </w:t>
            </w:r>
            <w:r>
              <w:rPr>
                <w:sz w:val="24"/>
                <w:szCs w:val="24"/>
              </w:rPr>
              <w:t xml:space="preserve">to be provided to the Council at the November meeting. </w:t>
            </w:r>
          </w:p>
          <w:p w:rsidR="004D5153" w:rsidRDefault="004D5153" w:rsidP="00514AB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– Event to be organised after Christmas although the farm had been booked.</w:t>
            </w:r>
          </w:p>
          <w:p w:rsidR="004D5153" w:rsidRDefault="004D5153" w:rsidP="00514AB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Pantomime – </w:t>
            </w:r>
            <w:r w:rsidR="00DB23C3">
              <w:rPr>
                <w:sz w:val="24"/>
                <w:szCs w:val="24"/>
              </w:rPr>
              <w:t>Ongoing with the en</w:t>
            </w:r>
            <w:r>
              <w:rPr>
                <w:sz w:val="24"/>
                <w:szCs w:val="24"/>
              </w:rPr>
              <w:t xml:space="preserve">d of February </w:t>
            </w:r>
            <w:r w:rsidR="007C766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most likely</w:t>
            </w:r>
            <w:r w:rsidR="00DB23C3">
              <w:rPr>
                <w:sz w:val="24"/>
                <w:szCs w:val="24"/>
              </w:rPr>
              <w:t xml:space="preserve"> date</w:t>
            </w:r>
            <w:r>
              <w:rPr>
                <w:sz w:val="24"/>
                <w:szCs w:val="24"/>
              </w:rPr>
              <w:t>.</w:t>
            </w:r>
          </w:p>
          <w:p w:rsidR="004D5153" w:rsidRDefault="004D5153" w:rsidP="00514AB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Council – First meeting scheduled next week</w:t>
            </w:r>
          </w:p>
          <w:p w:rsidR="007C7662" w:rsidRDefault="007C7662" w:rsidP="00514ABA">
            <w:pPr>
              <w:ind w:right="425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0674E" w:rsidRDefault="00B0674E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972E0A">
              <w:rPr>
                <w:b/>
                <w:sz w:val="24"/>
                <w:szCs w:val="24"/>
                <w:u w:val="single"/>
              </w:rPr>
              <w:t xml:space="preserve">Correspondence </w:t>
            </w:r>
          </w:p>
          <w:p w:rsidR="004D5153" w:rsidRPr="00DB23C3" w:rsidRDefault="004D5153" w:rsidP="00DB23C3">
            <w:pPr>
              <w:pStyle w:val="ListParagraph"/>
              <w:numPr>
                <w:ilvl w:val="0"/>
                <w:numId w:val="34"/>
              </w:numPr>
              <w:ind w:left="173" w:right="567" w:hanging="173"/>
              <w:rPr>
                <w:rFonts w:asciiTheme="minorHAnsi" w:hAnsiTheme="minorHAnsi" w:cstheme="minorHAnsi"/>
              </w:rPr>
            </w:pPr>
            <w:r w:rsidRPr="00DB23C3">
              <w:rPr>
                <w:rFonts w:asciiTheme="minorHAnsi" w:hAnsiTheme="minorHAnsi" w:cstheme="minorHAnsi"/>
              </w:rPr>
              <w:t xml:space="preserve">Noted response from </w:t>
            </w:r>
            <w:proofErr w:type="spellStart"/>
            <w:r w:rsidRPr="00DB23C3">
              <w:rPr>
                <w:rFonts w:asciiTheme="minorHAnsi" w:hAnsiTheme="minorHAnsi" w:cstheme="minorHAnsi"/>
              </w:rPr>
              <w:t>Brinsworth</w:t>
            </w:r>
            <w:proofErr w:type="spellEnd"/>
            <w:r w:rsidRPr="00DB23C3">
              <w:rPr>
                <w:rFonts w:asciiTheme="minorHAnsi" w:hAnsiTheme="minorHAnsi" w:cstheme="minorHAnsi"/>
              </w:rPr>
              <w:t xml:space="preserve"> Parish Council re: J33 service station</w:t>
            </w:r>
            <w:r w:rsidR="00DB23C3">
              <w:rPr>
                <w:rFonts w:asciiTheme="minorHAnsi" w:hAnsiTheme="minorHAnsi" w:cstheme="minorHAnsi"/>
              </w:rPr>
              <w:t>.</w:t>
            </w:r>
            <w:r w:rsidR="0066300C">
              <w:rPr>
                <w:rFonts w:asciiTheme="minorHAnsi" w:hAnsiTheme="minorHAnsi" w:cstheme="minorHAnsi"/>
              </w:rPr>
              <w:t xml:space="preserve"> (No formal decision to date)</w:t>
            </w:r>
          </w:p>
          <w:p w:rsidR="00DB23C3" w:rsidRPr="00DB23C3" w:rsidRDefault="00DB23C3" w:rsidP="00DB23C3">
            <w:pPr>
              <w:pStyle w:val="ListParagraph"/>
              <w:numPr>
                <w:ilvl w:val="0"/>
                <w:numId w:val="34"/>
              </w:numPr>
              <w:ind w:left="173" w:right="567" w:hanging="173"/>
              <w:rPr>
                <w:rFonts w:cstheme="minorHAnsi"/>
              </w:rPr>
            </w:pPr>
            <w:r w:rsidRPr="00DB23C3">
              <w:rPr>
                <w:rFonts w:asciiTheme="minorHAnsi" w:hAnsiTheme="minorHAnsi" w:cstheme="minorHAnsi"/>
              </w:rPr>
              <w:t>Crucible Estate Agents sponsorship of the Christmas selection boxes noted</w:t>
            </w:r>
            <w:r w:rsidR="0066300C">
              <w:rPr>
                <w:rFonts w:asciiTheme="minorHAnsi" w:hAnsiTheme="minorHAnsi" w:cstheme="minorHAnsi"/>
              </w:rPr>
              <w:t xml:space="preserve"> and </w:t>
            </w:r>
            <w:proofErr w:type="gramStart"/>
            <w:r w:rsidR="0066300C">
              <w:rPr>
                <w:rFonts w:asciiTheme="minorHAnsi" w:hAnsiTheme="minorHAnsi" w:cstheme="minorHAnsi"/>
              </w:rPr>
              <w:t xml:space="preserve">agreed 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4D5153" w:rsidRPr="004D5153" w:rsidRDefault="004D5153" w:rsidP="004D5153">
            <w:pPr>
              <w:pStyle w:val="ListParagraph"/>
              <w:ind w:left="31" w:right="567"/>
            </w:pPr>
          </w:p>
          <w:p w:rsidR="00B0674E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</w:p>
          <w:p w:rsidR="00F24A7B" w:rsidRPr="00C7081D" w:rsidRDefault="00DB23C3" w:rsidP="00C7081D">
            <w:pPr>
              <w:pStyle w:val="ListParagraph"/>
              <w:numPr>
                <w:ilvl w:val="0"/>
                <w:numId w:val="34"/>
              </w:numPr>
              <w:ind w:left="173" w:right="567" w:hanging="173"/>
              <w:rPr>
                <w:rFonts w:asciiTheme="minorHAnsi" w:hAnsiTheme="minorHAnsi" w:cstheme="minorHAnsi"/>
              </w:rPr>
            </w:pPr>
            <w:r w:rsidRPr="00C7081D">
              <w:rPr>
                <w:rFonts w:asciiTheme="minorHAnsi" w:hAnsiTheme="minorHAnsi" w:cstheme="minorHAnsi"/>
              </w:rPr>
              <w:t>Grant policy review</w:t>
            </w:r>
          </w:p>
          <w:p w:rsidR="00C7081D" w:rsidRPr="00C7081D" w:rsidRDefault="00C7081D" w:rsidP="00C7081D">
            <w:pPr>
              <w:pStyle w:val="ListParagraph"/>
              <w:numPr>
                <w:ilvl w:val="0"/>
                <w:numId w:val="34"/>
              </w:numPr>
              <w:ind w:left="173" w:right="567" w:hanging="173"/>
              <w:rPr>
                <w:rFonts w:asciiTheme="minorHAnsi" w:hAnsiTheme="minorHAnsi" w:cstheme="minorHAnsi"/>
              </w:rPr>
            </w:pPr>
            <w:r w:rsidRPr="00C7081D">
              <w:rPr>
                <w:rFonts w:asciiTheme="minorHAnsi" w:hAnsiTheme="minorHAnsi" w:cstheme="minorHAnsi"/>
              </w:rPr>
              <w:t>New</w:t>
            </w:r>
            <w:r w:rsidR="0066300C">
              <w:rPr>
                <w:rFonts w:asciiTheme="minorHAnsi" w:hAnsiTheme="minorHAnsi" w:cstheme="minorHAnsi"/>
              </w:rPr>
              <w:t>s</w:t>
            </w:r>
            <w:r w:rsidRPr="00C7081D">
              <w:rPr>
                <w:rFonts w:asciiTheme="minorHAnsi" w:hAnsiTheme="minorHAnsi" w:cstheme="minorHAnsi"/>
              </w:rPr>
              <w:t>letter</w:t>
            </w:r>
          </w:p>
          <w:p w:rsidR="00C7081D" w:rsidRDefault="00C7081D" w:rsidP="00C7081D">
            <w:pPr>
              <w:pStyle w:val="ListParagraph"/>
              <w:numPr>
                <w:ilvl w:val="0"/>
                <w:numId w:val="34"/>
              </w:numPr>
              <w:ind w:left="173" w:right="567" w:hanging="173"/>
              <w:rPr>
                <w:rFonts w:asciiTheme="minorHAnsi" w:hAnsiTheme="minorHAnsi" w:cstheme="minorHAnsi"/>
              </w:rPr>
            </w:pPr>
            <w:r w:rsidRPr="00C7081D">
              <w:rPr>
                <w:rFonts w:asciiTheme="minorHAnsi" w:hAnsiTheme="minorHAnsi" w:cstheme="minorHAnsi"/>
              </w:rPr>
              <w:t>Budget</w:t>
            </w:r>
            <w:r>
              <w:rPr>
                <w:rFonts w:asciiTheme="minorHAnsi" w:hAnsiTheme="minorHAnsi" w:cstheme="minorHAnsi"/>
              </w:rPr>
              <w:t xml:space="preserve"> &amp; CTSG consultation</w:t>
            </w:r>
          </w:p>
          <w:p w:rsidR="00C7081D" w:rsidRPr="00C7081D" w:rsidRDefault="00C7081D" w:rsidP="00C7081D">
            <w:pPr>
              <w:pStyle w:val="ListParagraph"/>
              <w:numPr>
                <w:ilvl w:val="0"/>
                <w:numId w:val="34"/>
              </w:numPr>
              <w:ind w:left="173" w:right="567" w:hanging="1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Hall Extension/Toilet refurbishment &amp; Main Hall - Consider </w:t>
            </w:r>
            <w:r w:rsidR="003139FD">
              <w:rPr>
                <w:rFonts w:asciiTheme="minorHAnsi" w:hAnsiTheme="minorHAnsi" w:cstheme="minorHAnsi"/>
              </w:rPr>
              <w:t>purchase order.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B23C3" w:rsidRDefault="00DB23C3" w:rsidP="00C5248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C5248D" w:rsidRDefault="00DB23C3" w:rsidP="00C5248D">
            <w:pPr>
              <w:ind w:right="567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  <w:r w:rsidR="00B0674E" w:rsidRPr="004A440D">
              <w:rPr>
                <w:b/>
                <w:u w:val="single"/>
              </w:rPr>
              <w:t xml:space="preserve"> </w:t>
            </w:r>
          </w:p>
          <w:p w:rsidR="00F00448" w:rsidRPr="00F00448" w:rsidRDefault="00F00448" w:rsidP="00F00448">
            <w:pPr>
              <w:pStyle w:val="ListParagraph"/>
              <w:ind w:left="39" w:hanging="39"/>
              <w:rPr>
                <w:rFonts w:asciiTheme="minorHAnsi" w:hAnsiTheme="minorHAnsi" w:cstheme="minorHAnsi"/>
              </w:rPr>
            </w:pPr>
            <w:r w:rsidRPr="00F00448">
              <w:rPr>
                <w:rFonts w:asciiTheme="minorHAnsi" w:hAnsiTheme="minorHAnsi" w:cstheme="minorHAnsi"/>
                <w:b/>
              </w:rPr>
              <w:t xml:space="preserve">RB2017/1270 </w:t>
            </w:r>
            <w:r w:rsidRPr="00F00448">
              <w:rPr>
                <w:rFonts w:asciiTheme="minorHAnsi" w:hAnsiTheme="minorHAnsi" w:cstheme="minorHAnsi"/>
              </w:rPr>
              <w:t>5 Westby Crescent</w:t>
            </w:r>
          </w:p>
          <w:p w:rsidR="000F0954" w:rsidRPr="00F00448" w:rsidRDefault="00F00448" w:rsidP="00F00448">
            <w:pPr>
              <w:pStyle w:val="ListParagraph"/>
              <w:ind w:left="39" w:hanging="39"/>
              <w:rPr>
                <w:rFonts w:asciiTheme="minorHAnsi" w:hAnsiTheme="minorHAnsi" w:cstheme="minorHAnsi"/>
              </w:rPr>
            </w:pPr>
            <w:r w:rsidRPr="00F00448">
              <w:rPr>
                <w:rFonts w:asciiTheme="minorHAnsi" w:hAnsiTheme="minorHAnsi" w:cstheme="minorHAnsi"/>
              </w:rPr>
              <w:t>Two Storey Side extension</w:t>
            </w:r>
          </w:p>
          <w:p w:rsidR="00F00448" w:rsidRPr="00F00448" w:rsidRDefault="00F00448" w:rsidP="00F00448">
            <w:pPr>
              <w:pStyle w:val="ListParagraph"/>
              <w:ind w:left="39" w:hanging="39"/>
              <w:rPr>
                <w:rFonts w:asciiTheme="minorHAnsi" w:hAnsiTheme="minorHAnsi" w:cstheme="minorHAnsi"/>
                <w:b/>
                <w:i/>
              </w:rPr>
            </w:pPr>
            <w:r w:rsidRPr="00F00448">
              <w:rPr>
                <w:rFonts w:asciiTheme="minorHAnsi" w:hAnsiTheme="minorHAnsi" w:cstheme="minorHAnsi"/>
                <w:b/>
                <w:i/>
              </w:rPr>
              <w:t>No adverse comment</w:t>
            </w:r>
          </w:p>
          <w:p w:rsidR="00B576D5" w:rsidRPr="00F00448" w:rsidRDefault="00B576D5" w:rsidP="000F0954">
            <w:pPr>
              <w:ind w:left="39" w:right="567" w:hanging="39"/>
              <w:rPr>
                <w:b/>
                <w:i/>
                <w:sz w:val="24"/>
                <w:szCs w:val="24"/>
                <w:u w:val="single"/>
              </w:rPr>
            </w:pPr>
          </w:p>
          <w:p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sz w:val="24"/>
                <w:szCs w:val="24"/>
              </w:rPr>
            </w:pPr>
            <w:r w:rsidRPr="00F00448">
              <w:rPr>
                <w:rFonts w:cstheme="minorHAnsi"/>
                <w:b/>
                <w:sz w:val="24"/>
                <w:szCs w:val="24"/>
              </w:rPr>
              <w:t>RB2017/1196</w:t>
            </w:r>
            <w:r w:rsidRPr="00F00448">
              <w:rPr>
                <w:rFonts w:cstheme="minorHAnsi"/>
                <w:sz w:val="24"/>
                <w:szCs w:val="24"/>
              </w:rPr>
              <w:tab/>
              <w:t xml:space="preserve">205 East Bawtry Road 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00448">
              <w:rPr>
                <w:rFonts w:cstheme="minorHAnsi"/>
                <w:sz w:val="24"/>
                <w:szCs w:val="24"/>
              </w:rPr>
              <w:t xml:space="preserve">Two storey side and single storey rear extension- </w:t>
            </w:r>
            <w:r w:rsidRPr="00F00448">
              <w:rPr>
                <w:rFonts w:cstheme="minorHAnsi"/>
                <w:b/>
                <w:i/>
                <w:sz w:val="24"/>
                <w:szCs w:val="24"/>
              </w:rPr>
              <w:t xml:space="preserve">Granted 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sz w:val="24"/>
                <w:szCs w:val="24"/>
              </w:rPr>
            </w:pPr>
            <w:r w:rsidRPr="00F00448">
              <w:rPr>
                <w:rFonts w:cstheme="minorHAnsi"/>
                <w:b/>
                <w:i/>
                <w:sz w:val="24"/>
                <w:szCs w:val="24"/>
              </w:rPr>
              <w:t>RB2017/1130</w:t>
            </w:r>
            <w:r w:rsidRPr="00F00448">
              <w:rPr>
                <w:rFonts w:cstheme="minorHAnsi"/>
                <w:b/>
                <w:i/>
                <w:sz w:val="24"/>
                <w:szCs w:val="24"/>
              </w:rPr>
              <w:tab/>
            </w:r>
            <w:r w:rsidRPr="00F00448">
              <w:rPr>
                <w:rFonts w:cstheme="minorHAnsi"/>
                <w:sz w:val="24"/>
                <w:szCs w:val="24"/>
              </w:rPr>
              <w:t>236 East Bawtry Road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00448">
              <w:rPr>
                <w:rFonts w:cstheme="minorHAnsi"/>
                <w:sz w:val="24"/>
                <w:szCs w:val="24"/>
              </w:rPr>
              <w:t xml:space="preserve">Two storey side and single storey rear extensions- </w:t>
            </w:r>
            <w:r w:rsidRPr="00F00448">
              <w:rPr>
                <w:rFonts w:cstheme="minorHAnsi"/>
                <w:b/>
                <w:i/>
                <w:sz w:val="24"/>
                <w:szCs w:val="24"/>
              </w:rPr>
              <w:t>Granted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sz w:val="24"/>
                <w:szCs w:val="24"/>
              </w:rPr>
            </w:pPr>
            <w:r w:rsidRPr="00F00448">
              <w:rPr>
                <w:rFonts w:cstheme="minorHAnsi"/>
                <w:b/>
                <w:sz w:val="24"/>
                <w:szCs w:val="24"/>
              </w:rPr>
              <w:t>RB2017/0634</w:t>
            </w:r>
            <w:r w:rsidRPr="00F00448">
              <w:rPr>
                <w:rFonts w:cstheme="minorHAnsi"/>
                <w:sz w:val="24"/>
                <w:szCs w:val="24"/>
              </w:rPr>
              <w:tab/>
              <w:t xml:space="preserve">Sitwell Arms, </w:t>
            </w:r>
            <w:proofErr w:type="spellStart"/>
            <w:r w:rsidRPr="00F00448">
              <w:rPr>
                <w:rFonts w:cstheme="minorHAnsi"/>
                <w:sz w:val="24"/>
                <w:szCs w:val="24"/>
              </w:rPr>
              <w:t>Pleasley</w:t>
            </w:r>
            <w:proofErr w:type="spellEnd"/>
            <w:r w:rsidRPr="00F00448">
              <w:rPr>
                <w:rFonts w:cstheme="minorHAnsi"/>
                <w:sz w:val="24"/>
                <w:szCs w:val="24"/>
              </w:rPr>
              <w:t xml:space="preserve"> Rd</w:t>
            </w:r>
          </w:p>
          <w:p w:rsidR="00F00448" w:rsidRPr="00F00448" w:rsidRDefault="00F00448" w:rsidP="00C7081D">
            <w:pPr>
              <w:ind w:right="96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00448">
              <w:rPr>
                <w:rFonts w:cstheme="minorHAnsi"/>
                <w:sz w:val="24"/>
                <w:szCs w:val="24"/>
              </w:rPr>
              <w:t xml:space="preserve">New container bar in existing rear beer garden, new patio area with beach huts, timber fencing steps and planters and new storage container &amp; bin store in existing car park area- </w:t>
            </w:r>
            <w:r w:rsidRPr="00F00448">
              <w:rPr>
                <w:rFonts w:cstheme="minorHAnsi"/>
                <w:b/>
                <w:i/>
                <w:sz w:val="24"/>
                <w:szCs w:val="24"/>
              </w:rPr>
              <w:t>Granted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sz w:val="24"/>
                <w:szCs w:val="24"/>
              </w:rPr>
            </w:pPr>
            <w:r w:rsidRPr="00F00448">
              <w:rPr>
                <w:rFonts w:cstheme="minorHAnsi"/>
                <w:b/>
                <w:sz w:val="24"/>
                <w:szCs w:val="24"/>
              </w:rPr>
              <w:t>RB2017/1226</w:t>
            </w:r>
            <w:r w:rsidRPr="00F00448">
              <w:rPr>
                <w:rFonts w:cstheme="minorHAnsi"/>
                <w:b/>
                <w:sz w:val="24"/>
                <w:szCs w:val="24"/>
              </w:rPr>
              <w:tab/>
            </w:r>
            <w:r w:rsidRPr="00F00448">
              <w:rPr>
                <w:rFonts w:cstheme="minorHAnsi"/>
                <w:sz w:val="24"/>
                <w:szCs w:val="24"/>
              </w:rPr>
              <w:t>226 East Bawtry Road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00448">
              <w:rPr>
                <w:rFonts w:cstheme="minorHAnsi"/>
                <w:sz w:val="24"/>
                <w:szCs w:val="24"/>
              </w:rPr>
              <w:t xml:space="preserve">Single storey rear extension- </w:t>
            </w:r>
            <w:r w:rsidRPr="00F00448">
              <w:rPr>
                <w:rFonts w:cstheme="minorHAnsi"/>
                <w:b/>
                <w:i/>
                <w:sz w:val="24"/>
                <w:szCs w:val="24"/>
              </w:rPr>
              <w:t>Granted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sz w:val="24"/>
                <w:szCs w:val="24"/>
              </w:rPr>
            </w:pPr>
            <w:r w:rsidRPr="00F00448">
              <w:rPr>
                <w:rFonts w:cstheme="minorHAnsi"/>
                <w:b/>
                <w:sz w:val="24"/>
                <w:szCs w:val="24"/>
              </w:rPr>
              <w:t>RB2017/1227</w:t>
            </w:r>
            <w:r w:rsidRPr="00F00448">
              <w:rPr>
                <w:rFonts w:cstheme="minorHAnsi"/>
                <w:sz w:val="24"/>
                <w:szCs w:val="24"/>
              </w:rPr>
              <w:tab/>
              <w:t>5 Saville Road</w:t>
            </w:r>
            <w:r w:rsidRPr="00F00448">
              <w:rPr>
                <w:rFonts w:cstheme="minorHAnsi"/>
                <w:sz w:val="24"/>
                <w:szCs w:val="24"/>
              </w:rPr>
              <w:tab/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sz w:val="24"/>
                <w:szCs w:val="24"/>
              </w:rPr>
            </w:pPr>
            <w:r w:rsidRPr="00F00448">
              <w:rPr>
                <w:rFonts w:cstheme="minorHAnsi"/>
                <w:sz w:val="24"/>
                <w:szCs w:val="24"/>
              </w:rPr>
              <w:t>Demolition of existing garage and erection of two storey side extension -</w:t>
            </w:r>
            <w:r w:rsidRPr="00F00448">
              <w:rPr>
                <w:rFonts w:cstheme="minorHAnsi"/>
                <w:b/>
                <w:i/>
                <w:sz w:val="24"/>
                <w:szCs w:val="24"/>
              </w:rPr>
              <w:t xml:space="preserve">Granted </w:t>
            </w:r>
            <w:r w:rsidRPr="00F00448"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F00448" w:rsidRPr="00F00448" w:rsidRDefault="00F00448" w:rsidP="00F00448">
            <w:pPr>
              <w:jc w:val="both"/>
              <w:rPr>
                <w:rFonts w:cstheme="minorHAnsi"/>
                <w:sz w:val="24"/>
                <w:szCs w:val="24"/>
              </w:rPr>
            </w:pPr>
            <w:r w:rsidRPr="00F00448">
              <w:rPr>
                <w:rFonts w:cstheme="minorHAnsi"/>
                <w:b/>
                <w:sz w:val="24"/>
                <w:szCs w:val="24"/>
              </w:rPr>
              <w:t>RB2017/1316</w:t>
            </w:r>
            <w:r w:rsidRPr="00F00448">
              <w:rPr>
                <w:rFonts w:cstheme="minorHAnsi"/>
                <w:sz w:val="24"/>
                <w:szCs w:val="24"/>
              </w:rPr>
              <w:tab/>
              <w:t>299 East Bawtry Road</w:t>
            </w:r>
          </w:p>
          <w:p w:rsidR="00D320F1" w:rsidRPr="00F00448" w:rsidRDefault="00F00448" w:rsidP="00F00448">
            <w:pPr>
              <w:ind w:hanging="111"/>
              <w:rPr>
                <w:rFonts w:cstheme="minorHAnsi"/>
                <w:b/>
                <w:i/>
                <w:sz w:val="24"/>
                <w:szCs w:val="24"/>
              </w:rPr>
            </w:pPr>
            <w:r w:rsidRPr="00F00448">
              <w:rPr>
                <w:rFonts w:cstheme="minorHAnsi"/>
                <w:sz w:val="24"/>
                <w:szCs w:val="24"/>
              </w:rPr>
              <w:t xml:space="preserve">  Single storey rear extension- </w:t>
            </w:r>
            <w:r w:rsidRPr="00F00448">
              <w:rPr>
                <w:rFonts w:cstheme="minorHAnsi"/>
                <w:b/>
                <w:sz w:val="24"/>
                <w:szCs w:val="24"/>
              </w:rPr>
              <w:t>Granted</w:t>
            </w:r>
          </w:p>
          <w:p w:rsidR="00F260C8" w:rsidRPr="00F00448" w:rsidRDefault="00F260C8" w:rsidP="005B4865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  <w:p w:rsidR="00552547" w:rsidRPr="00552547" w:rsidRDefault="00552547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67D60" w:rsidRPr="005B4865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closed at </w:t>
            </w:r>
            <w:r w:rsidR="00F260C8" w:rsidRPr="00C7081D">
              <w:rPr>
                <w:sz w:val="20"/>
                <w:szCs w:val="20"/>
              </w:rPr>
              <w:t>8.</w:t>
            </w:r>
            <w:r w:rsidR="003139FD">
              <w:rPr>
                <w:sz w:val="20"/>
                <w:szCs w:val="20"/>
              </w:rPr>
              <w:t>20</w:t>
            </w:r>
            <w:r w:rsidR="00F260C8" w:rsidRPr="00C7081D">
              <w:rPr>
                <w:sz w:val="20"/>
                <w:szCs w:val="20"/>
              </w:rPr>
              <w:t>pm</w:t>
            </w:r>
          </w:p>
          <w:p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Signed…………………………………………………</w:t>
            </w:r>
          </w:p>
          <w:p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613AF7" w:rsidRDefault="00C67D60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Dated ……………………………………………</w:t>
            </w:r>
            <w:proofErr w:type="gramStart"/>
            <w:r w:rsidRPr="00C67D60">
              <w:rPr>
                <w:sz w:val="24"/>
                <w:szCs w:val="24"/>
              </w:rPr>
              <w:t>…..</w:t>
            </w:r>
            <w:proofErr w:type="gramEnd"/>
          </w:p>
          <w:p w:rsidR="000F0954" w:rsidRPr="00C67D60" w:rsidRDefault="000F0954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  <w:tr w:rsidR="00A56A8A" w:rsidTr="007314A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6A8A" w:rsidRDefault="00A56A8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56A8A" w:rsidRPr="00B0674E" w:rsidRDefault="00A56A8A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C40BD" w:rsidRDefault="00BC40B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4280"/>
        <w:gridCol w:w="835"/>
        <w:gridCol w:w="1018"/>
      </w:tblGrid>
      <w:tr w:rsidR="003A1495" w:rsidRPr="003A1495" w:rsidTr="003A1495">
        <w:trPr>
          <w:trHeight w:val="900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A1495">
              <w:rPr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A1495">
              <w:rPr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835" w:type="dxa"/>
            <w:hideMark/>
          </w:tcPr>
          <w:p w:rsidR="003A1495" w:rsidRPr="003A1495" w:rsidRDefault="003A1495" w:rsidP="003A14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A14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A149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PHS Group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Waste contract 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DD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88.08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Whitestone Joinery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Replacement door - store 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265.00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Radio Nightingale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Donation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78.00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SSE Scottish Hydro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Hall Gas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DD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700.75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RMBC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Land &amp; Garage Rent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DD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24.70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O2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Mobile </w:t>
            </w:r>
            <w:proofErr w:type="spellStart"/>
            <w:r w:rsidRPr="003A1495">
              <w:rPr>
                <w:sz w:val="24"/>
                <w:szCs w:val="24"/>
              </w:rPr>
              <w:t>inc</w:t>
            </w:r>
            <w:proofErr w:type="spellEnd"/>
            <w:r w:rsidRPr="003A1495">
              <w:rPr>
                <w:sz w:val="24"/>
                <w:szCs w:val="24"/>
              </w:rPr>
              <w:t xml:space="preserve"> device fee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DD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19.11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Cooper Typo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Newsletter 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78.00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C K Finch 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Gardening &amp; waste co</w:t>
            </w:r>
            <w:r>
              <w:rPr>
                <w:sz w:val="24"/>
                <w:szCs w:val="24"/>
              </w:rPr>
              <w:t>ntract</w:t>
            </w:r>
            <w:bookmarkStart w:id="0" w:name="_GoBack"/>
            <w:bookmarkEnd w:id="0"/>
            <w:r w:rsidRPr="003A1495">
              <w:rPr>
                <w:sz w:val="24"/>
                <w:szCs w:val="24"/>
              </w:rPr>
              <w:t xml:space="preserve"> - Oct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300.50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RMBC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Quarterly allotment rent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9.38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E Stevenson 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Relief cleaning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216.00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Temp Fence Hire Ltd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Christmas Event - barriers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168.00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EDSA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Hosting fee - annual 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60.00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A Harrison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Salary Oct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836.18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S Pearson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Salary Oct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270.00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D Pearson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Salary Oct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627.35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Peoples Pension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Pension contributions (Emp'r &amp; </w:t>
            </w:r>
            <w:proofErr w:type="spellStart"/>
            <w:r w:rsidRPr="003A1495">
              <w:rPr>
                <w:sz w:val="24"/>
                <w:szCs w:val="24"/>
              </w:rPr>
              <w:t>Emp'ee</w:t>
            </w:r>
            <w:proofErr w:type="spellEnd"/>
            <w:r w:rsidRPr="003A1495">
              <w:rPr>
                <w:sz w:val="24"/>
                <w:szCs w:val="24"/>
              </w:rPr>
              <w:t>)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DD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20.21</w:t>
            </w:r>
          </w:p>
        </w:tc>
      </w:tr>
      <w:tr w:rsidR="003A1495" w:rsidRPr="003A1495" w:rsidTr="003A1495">
        <w:trPr>
          <w:trHeight w:val="31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HMRC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 xml:space="preserve">NICs &amp; IT- Oct 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BACS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361.21</w:t>
            </w:r>
          </w:p>
        </w:tc>
      </w:tr>
      <w:tr w:rsidR="003A1495" w:rsidRPr="003A1495" w:rsidTr="003A1495">
        <w:trPr>
          <w:trHeight w:val="465"/>
        </w:trPr>
        <w:tc>
          <w:tcPr>
            <w:tcW w:w="3332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A149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80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A14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sz w:val="24"/>
                <w:szCs w:val="24"/>
              </w:rPr>
            </w:pPr>
            <w:r w:rsidRPr="003A149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3A1495" w:rsidRPr="003A1495" w:rsidRDefault="003A1495" w:rsidP="003A14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A1495">
              <w:rPr>
                <w:b/>
                <w:bCs/>
                <w:sz w:val="24"/>
                <w:szCs w:val="24"/>
              </w:rPr>
              <w:t>4122.47</w:t>
            </w:r>
          </w:p>
        </w:tc>
      </w:tr>
    </w:tbl>
    <w:p w:rsidR="003A1495" w:rsidRDefault="003A1495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3F7342" w:rsidRDefault="003F7342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BC40BD" w:rsidRPr="00BC40BD" w:rsidRDefault="00BC40BD" w:rsidP="00BC40BD"/>
    <w:p w:rsidR="00BC40BD" w:rsidRDefault="00BC40BD" w:rsidP="00BC40BD"/>
    <w:p w:rsidR="009353F1" w:rsidRPr="00BC40BD" w:rsidRDefault="00BC40BD" w:rsidP="00BC40BD">
      <w:pPr>
        <w:tabs>
          <w:tab w:val="left" w:pos="6915"/>
        </w:tabs>
      </w:pPr>
      <w:r>
        <w:tab/>
      </w:r>
    </w:p>
    <w:sectPr w:rsidR="009353F1" w:rsidRPr="00BC40BD" w:rsidSect="007C13BD">
      <w:headerReference w:type="default" r:id="rId8"/>
      <w:pgSz w:w="11906" w:h="16838"/>
      <w:pgMar w:top="993" w:right="991" w:bottom="426" w:left="144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9F4" w:rsidRDefault="006B59F4" w:rsidP="00527943">
      <w:pPr>
        <w:spacing w:after="0" w:line="240" w:lineRule="auto"/>
      </w:pPr>
      <w:r>
        <w:separator/>
      </w:r>
    </w:p>
  </w:endnote>
  <w:endnote w:type="continuationSeparator" w:id="0">
    <w:p w:rsidR="006B59F4" w:rsidRDefault="006B59F4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9F4" w:rsidRDefault="006B59F4" w:rsidP="00527943">
      <w:pPr>
        <w:spacing w:after="0" w:line="240" w:lineRule="auto"/>
      </w:pPr>
      <w:r>
        <w:separator/>
      </w:r>
    </w:p>
  </w:footnote>
  <w:footnote w:type="continuationSeparator" w:id="0">
    <w:p w:rsidR="006B59F4" w:rsidRDefault="006B59F4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158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5153" w:rsidRDefault="004D51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5F1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4D5153" w:rsidRDefault="004D5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3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5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1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3"/>
  </w:num>
  <w:num w:numId="5">
    <w:abstractNumId w:val="31"/>
  </w:num>
  <w:num w:numId="6">
    <w:abstractNumId w:val="1"/>
  </w:num>
  <w:num w:numId="7">
    <w:abstractNumId w:val="16"/>
  </w:num>
  <w:num w:numId="8">
    <w:abstractNumId w:val="14"/>
  </w:num>
  <w:num w:numId="9">
    <w:abstractNumId w:val="18"/>
  </w:num>
  <w:num w:numId="10">
    <w:abstractNumId w:val="21"/>
  </w:num>
  <w:num w:numId="11">
    <w:abstractNumId w:val="13"/>
  </w:num>
  <w:num w:numId="12">
    <w:abstractNumId w:val="20"/>
  </w:num>
  <w:num w:numId="13">
    <w:abstractNumId w:val="28"/>
  </w:num>
  <w:num w:numId="14">
    <w:abstractNumId w:val="32"/>
  </w:num>
  <w:num w:numId="15">
    <w:abstractNumId w:val="5"/>
  </w:num>
  <w:num w:numId="16">
    <w:abstractNumId w:val="4"/>
  </w:num>
  <w:num w:numId="17">
    <w:abstractNumId w:val="26"/>
  </w:num>
  <w:num w:numId="18">
    <w:abstractNumId w:val="29"/>
  </w:num>
  <w:num w:numId="19">
    <w:abstractNumId w:val="2"/>
  </w:num>
  <w:num w:numId="20">
    <w:abstractNumId w:val="12"/>
  </w:num>
  <w:num w:numId="21">
    <w:abstractNumId w:val="25"/>
  </w:num>
  <w:num w:numId="22">
    <w:abstractNumId w:val="11"/>
  </w:num>
  <w:num w:numId="23">
    <w:abstractNumId w:val="17"/>
  </w:num>
  <w:num w:numId="24">
    <w:abstractNumId w:val="24"/>
  </w:num>
  <w:num w:numId="25">
    <w:abstractNumId w:val="19"/>
  </w:num>
  <w:num w:numId="26">
    <w:abstractNumId w:val="15"/>
  </w:num>
  <w:num w:numId="27">
    <w:abstractNumId w:val="8"/>
  </w:num>
  <w:num w:numId="28">
    <w:abstractNumId w:val="27"/>
  </w:num>
  <w:num w:numId="29">
    <w:abstractNumId w:val="3"/>
  </w:num>
  <w:num w:numId="30">
    <w:abstractNumId w:val="33"/>
  </w:num>
  <w:num w:numId="31">
    <w:abstractNumId w:val="22"/>
  </w:num>
  <w:num w:numId="32">
    <w:abstractNumId w:val="30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1840"/>
    <w:rsid w:val="00004AF8"/>
    <w:rsid w:val="00005ADE"/>
    <w:rsid w:val="00005E09"/>
    <w:rsid w:val="0000705A"/>
    <w:rsid w:val="00010CB2"/>
    <w:rsid w:val="0001219E"/>
    <w:rsid w:val="00014DEC"/>
    <w:rsid w:val="000202FF"/>
    <w:rsid w:val="000212A9"/>
    <w:rsid w:val="000224B4"/>
    <w:rsid w:val="0002250D"/>
    <w:rsid w:val="00025182"/>
    <w:rsid w:val="0002791C"/>
    <w:rsid w:val="0003048E"/>
    <w:rsid w:val="0003078C"/>
    <w:rsid w:val="00032892"/>
    <w:rsid w:val="00033132"/>
    <w:rsid w:val="00034D57"/>
    <w:rsid w:val="00041968"/>
    <w:rsid w:val="00041E7B"/>
    <w:rsid w:val="00042278"/>
    <w:rsid w:val="0004377E"/>
    <w:rsid w:val="000442F6"/>
    <w:rsid w:val="00044469"/>
    <w:rsid w:val="000463F6"/>
    <w:rsid w:val="000503CB"/>
    <w:rsid w:val="00050656"/>
    <w:rsid w:val="00052595"/>
    <w:rsid w:val="00053944"/>
    <w:rsid w:val="00055924"/>
    <w:rsid w:val="00055B81"/>
    <w:rsid w:val="00060FA7"/>
    <w:rsid w:val="00064A0F"/>
    <w:rsid w:val="000653B2"/>
    <w:rsid w:val="000666E2"/>
    <w:rsid w:val="00067224"/>
    <w:rsid w:val="00071ADE"/>
    <w:rsid w:val="00072E4A"/>
    <w:rsid w:val="00073D1F"/>
    <w:rsid w:val="0007715F"/>
    <w:rsid w:val="00077879"/>
    <w:rsid w:val="000778B9"/>
    <w:rsid w:val="00083626"/>
    <w:rsid w:val="000843CD"/>
    <w:rsid w:val="000869EB"/>
    <w:rsid w:val="00087B5A"/>
    <w:rsid w:val="00091C9D"/>
    <w:rsid w:val="00092308"/>
    <w:rsid w:val="0009771E"/>
    <w:rsid w:val="000A0204"/>
    <w:rsid w:val="000A1399"/>
    <w:rsid w:val="000A2676"/>
    <w:rsid w:val="000A4B28"/>
    <w:rsid w:val="000B0C8B"/>
    <w:rsid w:val="000B4057"/>
    <w:rsid w:val="000B5D20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79EA"/>
    <w:rsid w:val="000F026A"/>
    <w:rsid w:val="000F0954"/>
    <w:rsid w:val="000F3703"/>
    <w:rsid w:val="000F393F"/>
    <w:rsid w:val="000F47AF"/>
    <w:rsid w:val="000F5C5C"/>
    <w:rsid w:val="00100997"/>
    <w:rsid w:val="00105239"/>
    <w:rsid w:val="001053BA"/>
    <w:rsid w:val="00106778"/>
    <w:rsid w:val="001112E3"/>
    <w:rsid w:val="0011194E"/>
    <w:rsid w:val="00111D4E"/>
    <w:rsid w:val="0012269B"/>
    <w:rsid w:val="00122EA6"/>
    <w:rsid w:val="001231B1"/>
    <w:rsid w:val="00123B8D"/>
    <w:rsid w:val="00124563"/>
    <w:rsid w:val="001247A8"/>
    <w:rsid w:val="00125B75"/>
    <w:rsid w:val="001305B6"/>
    <w:rsid w:val="0013169F"/>
    <w:rsid w:val="00135A9F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27CF"/>
    <w:rsid w:val="00182C33"/>
    <w:rsid w:val="00182D7D"/>
    <w:rsid w:val="0018356B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3898"/>
    <w:rsid w:val="001B3B7E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E0F80"/>
    <w:rsid w:val="001E1F60"/>
    <w:rsid w:val="001E66FD"/>
    <w:rsid w:val="001F1304"/>
    <w:rsid w:val="001F278B"/>
    <w:rsid w:val="001F2D24"/>
    <w:rsid w:val="001F4BED"/>
    <w:rsid w:val="001F7620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4075"/>
    <w:rsid w:val="002245F9"/>
    <w:rsid w:val="0022576B"/>
    <w:rsid w:val="0023026F"/>
    <w:rsid w:val="00231073"/>
    <w:rsid w:val="00231C33"/>
    <w:rsid w:val="002321C1"/>
    <w:rsid w:val="00232C2B"/>
    <w:rsid w:val="00233FB2"/>
    <w:rsid w:val="00237497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90C82"/>
    <w:rsid w:val="00296D63"/>
    <w:rsid w:val="00297A3D"/>
    <w:rsid w:val="002A0FEF"/>
    <w:rsid w:val="002A1BF1"/>
    <w:rsid w:val="002A348B"/>
    <w:rsid w:val="002A3637"/>
    <w:rsid w:val="002B0236"/>
    <w:rsid w:val="002B12C0"/>
    <w:rsid w:val="002B1558"/>
    <w:rsid w:val="002B2A83"/>
    <w:rsid w:val="002B77BA"/>
    <w:rsid w:val="002C35E5"/>
    <w:rsid w:val="002C3900"/>
    <w:rsid w:val="002C398D"/>
    <w:rsid w:val="002C45C9"/>
    <w:rsid w:val="002C719D"/>
    <w:rsid w:val="002D3452"/>
    <w:rsid w:val="002D4CF9"/>
    <w:rsid w:val="002D73C2"/>
    <w:rsid w:val="002E0294"/>
    <w:rsid w:val="002E446B"/>
    <w:rsid w:val="002E473E"/>
    <w:rsid w:val="002F1130"/>
    <w:rsid w:val="002F1E41"/>
    <w:rsid w:val="002F2C17"/>
    <w:rsid w:val="002F3098"/>
    <w:rsid w:val="002F5056"/>
    <w:rsid w:val="002F63CD"/>
    <w:rsid w:val="002F7971"/>
    <w:rsid w:val="00301993"/>
    <w:rsid w:val="00302C2B"/>
    <w:rsid w:val="0030333C"/>
    <w:rsid w:val="0031167C"/>
    <w:rsid w:val="0031353E"/>
    <w:rsid w:val="003139FD"/>
    <w:rsid w:val="00313DC1"/>
    <w:rsid w:val="0032025B"/>
    <w:rsid w:val="0032102D"/>
    <w:rsid w:val="00324644"/>
    <w:rsid w:val="00326305"/>
    <w:rsid w:val="00327145"/>
    <w:rsid w:val="00330191"/>
    <w:rsid w:val="00333064"/>
    <w:rsid w:val="003330BA"/>
    <w:rsid w:val="00334504"/>
    <w:rsid w:val="00334B77"/>
    <w:rsid w:val="00337587"/>
    <w:rsid w:val="00337A89"/>
    <w:rsid w:val="003442EF"/>
    <w:rsid w:val="00344FD5"/>
    <w:rsid w:val="003472C5"/>
    <w:rsid w:val="00353887"/>
    <w:rsid w:val="00354104"/>
    <w:rsid w:val="003542AE"/>
    <w:rsid w:val="00356AAC"/>
    <w:rsid w:val="003573C6"/>
    <w:rsid w:val="003601B0"/>
    <w:rsid w:val="003602A0"/>
    <w:rsid w:val="003621C4"/>
    <w:rsid w:val="00367361"/>
    <w:rsid w:val="00367814"/>
    <w:rsid w:val="00367C36"/>
    <w:rsid w:val="0037342D"/>
    <w:rsid w:val="0037386A"/>
    <w:rsid w:val="00375C39"/>
    <w:rsid w:val="0038006E"/>
    <w:rsid w:val="0038088B"/>
    <w:rsid w:val="00381029"/>
    <w:rsid w:val="003818A9"/>
    <w:rsid w:val="00381CA2"/>
    <w:rsid w:val="0038377E"/>
    <w:rsid w:val="00387597"/>
    <w:rsid w:val="0039130F"/>
    <w:rsid w:val="00393C41"/>
    <w:rsid w:val="00394403"/>
    <w:rsid w:val="0039490D"/>
    <w:rsid w:val="0039616F"/>
    <w:rsid w:val="00397945"/>
    <w:rsid w:val="003A1495"/>
    <w:rsid w:val="003A288B"/>
    <w:rsid w:val="003A3687"/>
    <w:rsid w:val="003A3831"/>
    <w:rsid w:val="003A4CE3"/>
    <w:rsid w:val="003A55F2"/>
    <w:rsid w:val="003A6D08"/>
    <w:rsid w:val="003B1F91"/>
    <w:rsid w:val="003B377E"/>
    <w:rsid w:val="003B6427"/>
    <w:rsid w:val="003B6548"/>
    <w:rsid w:val="003C098D"/>
    <w:rsid w:val="003C15C0"/>
    <w:rsid w:val="003C3998"/>
    <w:rsid w:val="003D17AE"/>
    <w:rsid w:val="003D3128"/>
    <w:rsid w:val="003D6920"/>
    <w:rsid w:val="003E0EF2"/>
    <w:rsid w:val="003E1B7A"/>
    <w:rsid w:val="003E422A"/>
    <w:rsid w:val="003E54A4"/>
    <w:rsid w:val="003E555E"/>
    <w:rsid w:val="003E5D38"/>
    <w:rsid w:val="003F0410"/>
    <w:rsid w:val="003F0DAA"/>
    <w:rsid w:val="003F2639"/>
    <w:rsid w:val="003F4CD5"/>
    <w:rsid w:val="003F6502"/>
    <w:rsid w:val="003F7342"/>
    <w:rsid w:val="003F7F7D"/>
    <w:rsid w:val="00404AA2"/>
    <w:rsid w:val="00407378"/>
    <w:rsid w:val="00407871"/>
    <w:rsid w:val="00410D99"/>
    <w:rsid w:val="00410DAF"/>
    <w:rsid w:val="004135F1"/>
    <w:rsid w:val="00415FCE"/>
    <w:rsid w:val="00415FF3"/>
    <w:rsid w:val="00417598"/>
    <w:rsid w:val="00421235"/>
    <w:rsid w:val="00421D7D"/>
    <w:rsid w:val="0042221D"/>
    <w:rsid w:val="0042281D"/>
    <w:rsid w:val="00425378"/>
    <w:rsid w:val="00433106"/>
    <w:rsid w:val="00437275"/>
    <w:rsid w:val="00440195"/>
    <w:rsid w:val="00440E2F"/>
    <w:rsid w:val="00442059"/>
    <w:rsid w:val="004438A6"/>
    <w:rsid w:val="004443CC"/>
    <w:rsid w:val="00445268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7884"/>
    <w:rsid w:val="00475B37"/>
    <w:rsid w:val="00477BB3"/>
    <w:rsid w:val="0048245A"/>
    <w:rsid w:val="00484D23"/>
    <w:rsid w:val="0048563D"/>
    <w:rsid w:val="00491431"/>
    <w:rsid w:val="00492CB6"/>
    <w:rsid w:val="004939EA"/>
    <w:rsid w:val="00496A27"/>
    <w:rsid w:val="00496F34"/>
    <w:rsid w:val="004A440D"/>
    <w:rsid w:val="004A4507"/>
    <w:rsid w:val="004A6D04"/>
    <w:rsid w:val="004B05FB"/>
    <w:rsid w:val="004B095A"/>
    <w:rsid w:val="004B20A1"/>
    <w:rsid w:val="004B2B75"/>
    <w:rsid w:val="004B4BA2"/>
    <w:rsid w:val="004B4D3C"/>
    <w:rsid w:val="004B5B49"/>
    <w:rsid w:val="004B615E"/>
    <w:rsid w:val="004C0A5A"/>
    <w:rsid w:val="004C2059"/>
    <w:rsid w:val="004C455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739F"/>
    <w:rsid w:val="004E7F11"/>
    <w:rsid w:val="004F18F2"/>
    <w:rsid w:val="004F36AE"/>
    <w:rsid w:val="004F7BA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A63"/>
    <w:rsid w:val="00514ABA"/>
    <w:rsid w:val="00516989"/>
    <w:rsid w:val="00525BD1"/>
    <w:rsid w:val="00527943"/>
    <w:rsid w:val="00530116"/>
    <w:rsid w:val="00530CA6"/>
    <w:rsid w:val="005312C9"/>
    <w:rsid w:val="005321C3"/>
    <w:rsid w:val="0053248D"/>
    <w:rsid w:val="00535B6A"/>
    <w:rsid w:val="005366B9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2F30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7D9D"/>
    <w:rsid w:val="005B12B5"/>
    <w:rsid w:val="005B4865"/>
    <w:rsid w:val="005B5A57"/>
    <w:rsid w:val="005B6539"/>
    <w:rsid w:val="005C1F90"/>
    <w:rsid w:val="005C4488"/>
    <w:rsid w:val="005C4770"/>
    <w:rsid w:val="005C59DC"/>
    <w:rsid w:val="005C5C2F"/>
    <w:rsid w:val="005C5C86"/>
    <w:rsid w:val="005D1DC8"/>
    <w:rsid w:val="005D22CA"/>
    <w:rsid w:val="005D254E"/>
    <w:rsid w:val="005D2A97"/>
    <w:rsid w:val="005D384E"/>
    <w:rsid w:val="005D3E94"/>
    <w:rsid w:val="005D403B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2BAC"/>
    <w:rsid w:val="005F2E5F"/>
    <w:rsid w:val="005F466B"/>
    <w:rsid w:val="005F5BAF"/>
    <w:rsid w:val="005F5FF6"/>
    <w:rsid w:val="005F6071"/>
    <w:rsid w:val="005F6D0A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4D0D"/>
    <w:rsid w:val="006351C1"/>
    <w:rsid w:val="00635DA4"/>
    <w:rsid w:val="00636A32"/>
    <w:rsid w:val="00640514"/>
    <w:rsid w:val="00640645"/>
    <w:rsid w:val="0064232D"/>
    <w:rsid w:val="00646E24"/>
    <w:rsid w:val="00650553"/>
    <w:rsid w:val="00650846"/>
    <w:rsid w:val="00652465"/>
    <w:rsid w:val="00653F3B"/>
    <w:rsid w:val="00656497"/>
    <w:rsid w:val="00657150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552E"/>
    <w:rsid w:val="006951FF"/>
    <w:rsid w:val="006A076A"/>
    <w:rsid w:val="006A22B3"/>
    <w:rsid w:val="006A3D3C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735D"/>
    <w:rsid w:val="006E01CF"/>
    <w:rsid w:val="006E09A0"/>
    <w:rsid w:val="006E2336"/>
    <w:rsid w:val="006E2908"/>
    <w:rsid w:val="006E311C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11078"/>
    <w:rsid w:val="007114EC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E3E"/>
    <w:rsid w:val="007314A7"/>
    <w:rsid w:val="00732784"/>
    <w:rsid w:val="00734BC6"/>
    <w:rsid w:val="00736A16"/>
    <w:rsid w:val="0073792D"/>
    <w:rsid w:val="0074261F"/>
    <w:rsid w:val="00744CA1"/>
    <w:rsid w:val="0074506A"/>
    <w:rsid w:val="00746A93"/>
    <w:rsid w:val="00750A25"/>
    <w:rsid w:val="00753BFF"/>
    <w:rsid w:val="00755E47"/>
    <w:rsid w:val="00756D18"/>
    <w:rsid w:val="0075757A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B2092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474B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12D6"/>
    <w:rsid w:val="008116C1"/>
    <w:rsid w:val="008120A2"/>
    <w:rsid w:val="0081369F"/>
    <w:rsid w:val="00814DAD"/>
    <w:rsid w:val="00816791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50E09"/>
    <w:rsid w:val="008531A6"/>
    <w:rsid w:val="008531B8"/>
    <w:rsid w:val="00861DD0"/>
    <w:rsid w:val="00865184"/>
    <w:rsid w:val="008653BD"/>
    <w:rsid w:val="008673E1"/>
    <w:rsid w:val="008703FF"/>
    <w:rsid w:val="00873B98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504F"/>
    <w:rsid w:val="008B1A15"/>
    <w:rsid w:val="008B1C1A"/>
    <w:rsid w:val="008B32EA"/>
    <w:rsid w:val="008B485D"/>
    <w:rsid w:val="008B69C0"/>
    <w:rsid w:val="008B7C62"/>
    <w:rsid w:val="008B7D59"/>
    <w:rsid w:val="008D7A0D"/>
    <w:rsid w:val="008E0928"/>
    <w:rsid w:val="008E101E"/>
    <w:rsid w:val="008E47FD"/>
    <w:rsid w:val="008E68B3"/>
    <w:rsid w:val="008E720C"/>
    <w:rsid w:val="008E7BA0"/>
    <w:rsid w:val="008F0819"/>
    <w:rsid w:val="008F08EE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4066"/>
    <w:rsid w:val="00914BDB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4857"/>
    <w:rsid w:val="0095651D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2E0A"/>
    <w:rsid w:val="00974E8F"/>
    <w:rsid w:val="009755D8"/>
    <w:rsid w:val="00976B57"/>
    <w:rsid w:val="009807E9"/>
    <w:rsid w:val="00981905"/>
    <w:rsid w:val="00983633"/>
    <w:rsid w:val="00983A61"/>
    <w:rsid w:val="00983E84"/>
    <w:rsid w:val="00983F9B"/>
    <w:rsid w:val="009840EC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6E81"/>
    <w:rsid w:val="009E72B0"/>
    <w:rsid w:val="009F09C1"/>
    <w:rsid w:val="009F2191"/>
    <w:rsid w:val="009F2408"/>
    <w:rsid w:val="009F63B3"/>
    <w:rsid w:val="00A008BC"/>
    <w:rsid w:val="00A046B5"/>
    <w:rsid w:val="00A04FDE"/>
    <w:rsid w:val="00A06B20"/>
    <w:rsid w:val="00A071E9"/>
    <w:rsid w:val="00A11291"/>
    <w:rsid w:val="00A1225A"/>
    <w:rsid w:val="00A1272D"/>
    <w:rsid w:val="00A13562"/>
    <w:rsid w:val="00A153BB"/>
    <w:rsid w:val="00A21420"/>
    <w:rsid w:val="00A21D18"/>
    <w:rsid w:val="00A2366E"/>
    <w:rsid w:val="00A2413C"/>
    <w:rsid w:val="00A2490D"/>
    <w:rsid w:val="00A250E0"/>
    <w:rsid w:val="00A2511F"/>
    <w:rsid w:val="00A259DD"/>
    <w:rsid w:val="00A30153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61C0"/>
    <w:rsid w:val="00A77BF4"/>
    <w:rsid w:val="00A77CD5"/>
    <w:rsid w:val="00A77E09"/>
    <w:rsid w:val="00A82776"/>
    <w:rsid w:val="00A83456"/>
    <w:rsid w:val="00A8407C"/>
    <w:rsid w:val="00A844B2"/>
    <w:rsid w:val="00A904E5"/>
    <w:rsid w:val="00A91B26"/>
    <w:rsid w:val="00A933C6"/>
    <w:rsid w:val="00A94916"/>
    <w:rsid w:val="00A954C4"/>
    <w:rsid w:val="00AA5023"/>
    <w:rsid w:val="00AA6636"/>
    <w:rsid w:val="00AA79E1"/>
    <w:rsid w:val="00AB0C8D"/>
    <w:rsid w:val="00AB3EB5"/>
    <w:rsid w:val="00AB417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C4"/>
    <w:rsid w:val="00AD7475"/>
    <w:rsid w:val="00AD7D51"/>
    <w:rsid w:val="00AE17B9"/>
    <w:rsid w:val="00AE1BA8"/>
    <w:rsid w:val="00AE2192"/>
    <w:rsid w:val="00AE5F44"/>
    <w:rsid w:val="00AE6525"/>
    <w:rsid w:val="00AE705C"/>
    <w:rsid w:val="00AE793C"/>
    <w:rsid w:val="00AF173F"/>
    <w:rsid w:val="00AF3B8F"/>
    <w:rsid w:val="00AF55FE"/>
    <w:rsid w:val="00AF74CE"/>
    <w:rsid w:val="00B00B66"/>
    <w:rsid w:val="00B00F24"/>
    <w:rsid w:val="00B0217A"/>
    <w:rsid w:val="00B047CB"/>
    <w:rsid w:val="00B05247"/>
    <w:rsid w:val="00B0533C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217E"/>
    <w:rsid w:val="00B6376D"/>
    <w:rsid w:val="00B64ECE"/>
    <w:rsid w:val="00B659BA"/>
    <w:rsid w:val="00B67CCB"/>
    <w:rsid w:val="00B73F7A"/>
    <w:rsid w:val="00B76E24"/>
    <w:rsid w:val="00B777CD"/>
    <w:rsid w:val="00B83131"/>
    <w:rsid w:val="00B8478B"/>
    <w:rsid w:val="00B9063C"/>
    <w:rsid w:val="00B95B3B"/>
    <w:rsid w:val="00B97BE6"/>
    <w:rsid w:val="00BA2493"/>
    <w:rsid w:val="00BA3FEE"/>
    <w:rsid w:val="00BA4C3C"/>
    <w:rsid w:val="00BA6CD3"/>
    <w:rsid w:val="00BB4439"/>
    <w:rsid w:val="00BB49B3"/>
    <w:rsid w:val="00BB5791"/>
    <w:rsid w:val="00BC26D5"/>
    <w:rsid w:val="00BC2ADC"/>
    <w:rsid w:val="00BC40BD"/>
    <w:rsid w:val="00BC5758"/>
    <w:rsid w:val="00BC60F0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12339"/>
    <w:rsid w:val="00C133DD"/>
    <w:rsid w:val="00C148AB"/>
    <w:rsid w:val="00C159A1"/>
    <w:rsid w:val="00C20237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5A39"/>
    <w:rsid w:val="00C67D04"/>
    <w:rsid w:val="00C67D60"/>
    <w:rsid w:val="00C7081D"/>
    <w:rsid w:val="00C714D1"/>
    <w:rsid w:val="00C71CA6"/>
    <w:rsid w:val="00C74642"/>
    <w:rsid w:val="00C751CD"/>
    <w:rsid w:val="00C77B53"/>
    <w:rsid w:val="00C77EF1"/>
    <w:rsid w:val="00C82567"/>
    <w:rsid w:val="00C8301D"/>
    <w:rsid w:val="00C83177"/>
    <w:rsid w:val="00C83563"/>
    <w:rsid w:val="00C90980"/>
    <w:rsid w:val="00C9386C"/>
    <w:rsid w:val="00C94EF9"/>
    <w:rsid w:val="00C96024"/>
    <w:rsid w:val="00C97651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73C"/>
    <w:rsid w:val="00CC11DC"/>
    <w:rsid w:val="00CD1C06"/>
    <w:rsid w:val="00CD1D8D"/>
    <w:rsid w:val="00CD46AD"/>
    <w:rsid w:val="00CD4C9B"/>
    <w:rsid w:val="00CE25CA"/>
    <w:rsid w:val="00CE2752"/>
    <w:rsid w:val="00CE35E3"/>
    <w:rsid w:val="00CE6686"/>
    <w:rsid w:val="00CE66F9"/>
    <w:rsid w:val="00CE6EA0"/>
    <w:rsid w:val="00CF0E24"/>
    <w:rsid w:val="00CF124F"/>
    <w:rsid w:val="00CF3E5F"/>
    <w:rsid w:val="00CF4759"/>
    <w:rsid w:val="00CF66BF"/>
    <w:rsid w:val="00D002E5"/>
    <w:rsid w:val="00D02487"/>
    <w:rsid w:val="00D02590"/>
    <w:rsid w:val="00D03A20"/>
    <w:rsid w:val="00D05843"/>
    <w:rsid w:val="00D1385A"/>
    <w:rsid w:val="00D1642A"/>
    <w:rsid w:val="00D20BBB"/>
    <w:rsid w:val="00D26D66"/>
    <w:rsid w:val="00D317A1"/>
    <w:rsid w:val="00D320F1"/>
    <w:rsid w:val="00D33172"/>
    <w:rsid w:val="00D36B89"/>
    <w:rsid w:val="00D411EA"/>
    <w:rsid w:val="00D42F55"/>
    <w:rsid w:val="00D444D5"/>
    <w:rsid w:val="00D46C20"/>
    <w:rsid w:val="00D50CC4"/>
    <w:rsid w:val="00D50F82"/>
    <w:rsid w:val="00D53D26"/>
    <w:rsid w:val="00D53EB2"/>
    <w:rsid w:val="00D5437E"/>
    <w:rsid w:val="00D64E37"/>
    <w:rsid w:val="00D6520C"/>
    <w:rsid w:val="00D65344"/>
    <w:rsid w:val="00D65632"/>
    <w:rsid w:val="00D6776F"/>
    <w:rsid w:val="00D67A56"/>
    <w:rsid w:val="00D67A5A"/>
    <w:rsid w:val="00D70459"/>
    <w:rsid w:val="00D704B9"/>
    <w:rsid w:val="00D732B0"/>
    <w:rsid w:val="00D74A6E"/>
    <w:rsid w:val="00D770EA"/>
    <w:rsid w:val="00D7787B"/>
    <w:rsid w:val="00D804AC"/>
    <w:rsid w:val="00D80D6A"/>
    <w:rsid w:val="00D82CD8"/>
    <w:rsid w:val="00D84C66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4EA0"/>
    <w:rsid w:val="00DC5CFE"/>
    <w:rsid w:val="00DC6BED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A45"/>
    <w:rsid w:val="00E355E3"/>
    <w:rsid w:val="00E42616"/>
    <w:rsid w:val="00E42BDB"/>
    <w:rsid w:val="00E47656"/>
    <w:rsid w:val="00E51B5D"/>
    <w:rsid w:val="00E5361D"/>
    <w:rsid w:val="00E5784E"/>
    <w:rsid w:val="00E579E5"/>
    <w:rsid w:val="00E66D00"/>
    <w:rsid w:val="00E67E74"/>
    <w:rsid w:val="00E712BB"/>
    <w:rsid w:val="00E723B0"/>
    <w:rsid w:val="00E76609"/>
    <w:rsid w:val="00E77FD5"/>
    <w:rsid w:val="00E808E1"/>
    <w:rsid w:val="00E848C1"/>
    <w:rsid w:val="00E856F3"/>
    <w:rsid w:val="00E90ACC"/>
    <w:rsid w:val="00E92B6A"/>
    <w:rsid w:val="00E92D24"/>
    <w:rsid w:val="00E93A5E"/>
    <w:rsid w:val="00E93D0A"/>
    <w:rsid w:val="00EA09F4"/>
    <w:rsid w:val="00EA2A57"/>
    <w:rsid w:val="00EA3283"/>
    <w:rsid w:val="00EA3ADE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6B33"/>
    <w:rsid w:val="00EE2406"/>
    <w:rsid w:val="00EE6491"/>
    <w:rsid w:val="00EF10A4"/>
    <w:rsid w:val="00EF1823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7D29"/>
    <w:rsid w:val="00F60284"/>
    <w:rsid w:val="00F623EF"/>
    <w:rsid w:val="00F62E8E"/>
    <w:rsid w:val="00F63162"/>
    <w:rsid w:val="00F632EE"/>
    <w:rsid w:val="00F63A77"/>
    <w:rsid w:val="00F677FD"/>
    <w:rsid w:val="00F712B2"/>
    <w:rsid w:val="00F71E73"/>
    <w:rsid w:val="00F753B5"/>
    <w:rsid w:val="00F8003C"/>
    <w:rsid w:val="00F82C58"/>
    <w:rsid w:val="00F835F1"/>
    <w:rsid w:val="00F91038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62AF"/>
    <w:rsid w:val="00FC0733"/>
    <w:rsid w:val="00FC17C9"/>
    <w:rsid w:val="00FC3E7B"/>
    <w:rsid w:val="00FC5607"/>
    <w:rsid w:val="00FC7326"/>
    <w:rsid w:val="00FC75B1"/>
    <w:rsid w:val="00FC7635"/>
    <w:rsid w:val="00FD6CF7"/>
    <w:rsid w:val="00FE1852"/>
    <w:rsid w:val="00FE3B7F"/>
    <w:rsid w:val="00FE4855"/>
    <w:rsid w:val="00FF0280"/>
    <w:rsid w:val="00FF2E25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CEB5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9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F9ED-8A52-48F1-B001-498A018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11</cp:revision>
  <cp:lastPrinted>2017-10-23T10:16:00Z</cp:lastPrinted>
  <dcterms:created xsi:type="dcterms:W3CDTF">2017-10-16T09:16:00Z</dcterms:created>
  <dcterms:modified xsi:type="dcterms:W3CDTF">2017-10-23T10:16:00Z</dcterms:modified>
</cp:coreProperties>
</file>